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9F9B323BF8C241B5A189668042C4EBDF"/>
        </w:placeholder>
        <w:dataBinding w:prefixMappings="xmlns:ns0='http://purl.org/dc/elements/1.1/' xmlns:ns1='http://schemas.openxmlformats.org/package/2006/metadata/core-properties' " w:xpath="/ns1:coreProperties[1]/ns0:title[1]" w:storeItemID="{6C3C8BC8-F283-45AE-878A-BAB7291924A1}"/>
        <w:text/>
      </w:sdtPr>
      <w:sdtEndPr/>
      <w:sdtContent>
        <w:p w14:paraId="452AC902" w14:textId="166D0C4D" w:rsidR="009D6E8A" w:rsidRPr="00274CC1" w:rsidRDefault="006E2F20" w:rsidP="00C13D8F">
          <w:pPr>
            <w:pStyle w:val="Title"/>
            <w:rPr>
              <w:color w:val="001947" w:themeColor="accent6"/>
              <w:sz w:val="48"/>
              <w:szCs w:val="48"/>
            </w:rPr>
          </w:pPr>
          <w:r>
            <w:rPr>
              <w:color w:val="001947" w:themeColor="accent6"/>
              <w:sz w:val="48"/>
              <w:szCs w:val="48"/>
            </w:rPr>
            <w:t>Child Safety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A30CEAC"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56E3C0D"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41028EE5" w14:textId="1E9FA960" w:rsidR="009D6E8A" w:rsidRPr="0057614B" w:rsidRDefault="006E2F20" w:rsidP="009C08F6">
            <w:pPr>
              <w:jc w:val="right"/>
              <w:rPr>
                <w:sz w:val="28"/>
                <w:szCs w:val="28"/>
              </w:rPr>
            </w:pPr>
            <w:r>
              <w:rPr>
                <w:color w:val="001947" w:themeColor="accent6"/>
                <w:sz w:val="28"/>
                <w:szCs w:val="28"/>
              </w:rPr>
              <w:t>may 2011</w:t>
            </w:r>
          </w:p>
        </w:tc>
      </w:tr>
      <w:tr w:rsidR="00D2771F" w14:paraId="41C845A9" w14:textId="77777777" w:rsidTr="00D2771F">
        <w:trPr>
          <w:trHeight w:val="385"/>
        </w:trPr>
        <w:tc>
          <w:tcPr>
            <w:tcW w:w="3152" w:type="dxa"/>
          </w:tcPr>
          <w:p w14:paraId="5D754A0A"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77A64C41" w14:textId="310B5096" w:rsidR="00D2771F" w:rsidRPr="006E2F20" w:rsidRDefault="006E2F20" w:rsidP="00D2771F">
            <w:pPr>
              <w:pStyle w:val="TableBodyText"/>
              <w:rPr>
                <w:sz w:val="24"/>
                <w:szCs w:val="24"/>
              </w:rPr>
            </w:pPr>
            <w:r w:rsidRPr="006E2F20">
              <w:rPr>
                <w:rFonts w:eastAsia="Times New Roman" w:cs="Arial"/>
                <w:bCs/>
                <w:sz w:val="24"/>
                <w:szCs w:val="24"/>
              </w:rPr>
              <w:t>Generic</w:t>
            </w:r>
          </w:p>
        </w:tc>
      </w:tr>
      <w:tr w:rsidR="00D2771F" w14:paraId="5DE1D1E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253B89"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7394996D675A4724AEEA6DABE007BE20"/>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1E69DA20" w14:textId="09BA4C8D" w:rsidR="00D2771F" w:rsidRPr="00BF7FC7" w:rsidRDefault="006E2F20" w:rsidP="00D2771F">
                <w:pPr>
                  <w:pStyle w:val="TableBodyText"/>
                  <w:rPr>
                    <w:sz w:val="24"/>
                    <w:szCs w:val="24"/>
                  </w:rPr>
                </w:pPr>
                <w:r>
                  <w:rPr>
                    <w:sz w:val="24"/>
                    <w:szCs w:val="24"/>
                  </w:rPr>
                  <w:t>Services for Youth Justice</w:t>
                </w:r>
              </w:p>
            </w:tc>
          </w:sdtContent>
        </w:sdt>
      </w:tr>
      <w:tr w:rsidR="00D2771F" w14:paraId="52F139EB" w14:textId="77777777" w:rsidTr="00D2771F">
        <w:trPr>
          <w:trHeight w:val="385"/>
        </w:trPr>
        <w:tc>
          <w:tcPr>
            <w:tcW w:w="3152" w:type="dxa"/>
          </w:tcPr>
          <w:p w14:paraId="3B3F0B79" w14:textId="77777777" w:rsidR="00D2771F" w:rsidRPr="00D603EF" w:rsidRDefault="00D2771F" w:rsidP="00D2771F">
            <w:pPr>
              <w:pStyle w:val="TableBodyText"/>
              <w:rPr>
                <w:sz w:val="24"/>
                <w:szCs w:val="24"/>
              </w:rPr>
            </w:pPr>
            <w:r w:rsidRPr="00D603EF">
              <w:rPr>
                <w:sz w:val="24"/>
                <w:szCs w:val="24"/>
              </w:rPr>
              <w:t>Branch</w:t>
            </w:r>
          </w:p>
        </w:tc>
        <w:tc>
          <w:tcPr>
            <w:tcW w:w="6540" w:type="dxa"/>
            <w:gridSpan w:val="2"/>
          </w:tcPr>
          <w:p w14:paraId="7CA7F865" w14:textId="3B6C89F9" w:rsidR="00D2771F" w:rsidRPr="00BF7FC7" w:rsidRDefault="006E2F20" w:rsidP="00D2771F">
            <w:pPr>
              <w:pStyle w:val="TableBodyText"/>
              <w:rPr>
                <w:sz w:val="24"/>
                <w:szCs w:val="24"/>
              </w:rPr>
            </w:pPr>
            <w:r w:rsidRPr="00E84E0B">
              <w:rPr>
                <w:rFonts w:eastAsia="Times New Roman" w:cs="Arial"/>
                <w:bCs/>
                <w:sz w:val="24"/>
                <w:szCs w:val="24"/>
              </w:rPr>
              <w:t>Child Safety</w:t>
            </w:r>
            <w:r>
              <w:rPr>
                <w:rFonts w:eastAsia="Times New Roman" w:cs="Arial"/>
                <w:bCs/>
                <w:sz w:val="24"/>
                <w:szCs w:val="24"/>
              </w:rPr>
              <w:t xml:space="preserve"> Services</w:t>
            </w:r>
          </w:p>
        </w:tc>
      </w:tr>
      <w:tr w:rsidR="006E2F20" w14:paraId="63520B3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47D6B3" w14:textId="77777777" w:rsidR="006E2F20" w:rsidRPr="00D603EF" w:rsidRDefault="006E2F20" w:rsidP="006E2F20">
            <w:pPr>
              <w:pStyle w:val="TableBodyText"/>
              <w:rPr>
                <w:sz w:val="24"/>
                <w:szCs w:val="24"/>
              </w:rPr>
            </w:pPr>
            <w:r w:rsidRPr="00D603EF">
              <w:rPr>
                <w:sz w:val="24"/>
                <w:szCs w:val="24"/>
              </w:rPr>
              <w:t>Section/Unit/School</w:t>
            </w:r>
          </w:p>
        </w:tc>
        <w:tc>
          <w:tcPr>
            <w:tcW w:w="6540" w:type="dxa"/>
            <w:gridSpan w:val="2"/>
          </w:tcPr>
          <w:p w14:paraId="5E043AD6" w14:textId="091A40D8" w:rsidR="006E2F20" w:rsidRPr="00BF7FC7" w:rsidRDefault="006E2F20" w:rsidP="006E2F20">
            <w:pPr>
              <w:pStyle w:val="TableBodyText"/>
              <w:rPr>
                <w:sz w:val="24"/>
                <w:szCs w:val="24"/>
              </w:rPr>
            </w:pPr>
            <w:r w:rsidRPr="00E84E0B">
              <w:rPr>
                <w:rFonts w:eastAsia="Times New Roman" w:cs="Arial"/>
                <w:bCs/>
                <w:sz w:val="24"/>
                <w:szCs w:val="24"/>
              </w:rPr>
              <w:t>N/A</w:t>
            </w:r>
          </w:p>
        </w:tc>
      </w:tr>
      <w:tr w:rsidR="006E2F20" w14:paraId="2AF39C6A" w14:textId="77777777" w:rsidTr="00D2771F">
        <w:trPr>
          <w:trHeight w:val="362"/>
        </w:trPr>
        <w:tc>
          <w:tcPr>
            <w:tcW w:w="3152" w:type="dxa"/>
          </w:tcPr>
          <w:p w14:paraId="5D853743" w14:textId="77777777" w:rsidR="006E2F20" w:rsidRPr="00D603EF" w:rsidRDefault="006E2F20" w:rsidP="006E2F20">
            <w:pPr>
              <w:pStyle w:val="TableBodyText"/>
              <w:rPr>
                <w:sz w:val="24"/>
                <w:szCs w:val="24"/>
              </w:rPr>
            </w:pPr>
            <w:r w:rsidRPr="00D603EF">
              <w:rPr>
                <w:sz w:val="24"/>
                <w:szCs w:val="24"/>
              </w:rPr>
              <w:t>Supervisor</w:t>
            </w:r>
          </w:p>
        </w:tc>
        <w:tc>
          <w:tcPr>
            <w:tcW w:w="6540" w:type="dxa"/>
            <w:gridSpan w:val="2"/>
          </w:tcPr>
          <w:p w14:paraId="5AA5EFF6" w14:textId="22539407" w:rsidR="006E2F20" w:rsidRPr="00BF7FC7" w:rsidRDefault="006E2F20" w:rsidP="006E2F20">
            <w:pPr>
              <w:pStyle w:val="TableBodyText"/>
              <w:rPr>
                <w:sz w:val="24"/>
                <w:szCs w:val="24"/>
              </w:rPr>
            </w:pPr>
            <w:r>
              <w:rPr>
                <w:rFonts w:eastAsia="Times New Roman" w:cs="Arial"/>
                <w:bCs/>
                <w:sz w:val="24"/>
                <w:szCs w:val="24"/>
              </w:rPr>
              <w:t>Practice Leader</w:t>
            </w:r>
          </w:p>
        </w:tc>
      </w:tr>
      <w:tr w:rsidR="00D2771F" w14:paraId="780777E8"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EC4657F"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7394996D675A4724AEEA6DABE007BE20"/>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F76B4EB" w14:textId="11777710" w:rsidR="00D2771F" w:rsidRPr="006E2F20" w:rsidRDefault="006E2F20" w:rsidP="00D2771F">
                <w:pPr>
                  <w:pStyle w:val="TableBodyText"/>
                  <w:rPr>
                    <w:sz w:val="24"/>
                    <w:szCs w:val="24"/>
                  </w:rPr>
                </w:pPr>
                <w:r w:rsidRPr="006E2F20">
                  <w:rPr>
                    <w:rFonts w:eastAsia="Times New Roman" w:cs="Arial"/>
                    <w:bCs/>
                    <w:sz w:val="24"/>
                    <w:szCs w:val="24"/>
                  </w:rPr>
                  <w:t>Allied Health Professionals Public Sector Union Wages Agreement</w:t>
                </w:r>
              </w:p>
            </w:sdtContent>
          </w:sdt>
        </w:tc>
      </w:tr>
      <w:tr w:rsidR="006E2F20" w14:paraId="1C27BCB3" w14:textId="77777777" w:rsidTr="00D2771F">
        <w:trPr>
          <w:trHeight w:val="362"/>
        </w:trPr>
        <w:tc>
          <w:tcPr>
            <w:tcW w:w="3152" w:type="dxa"/>
          </w:tcPr>
          <w:p w14:paraId="518FE5A2" w14:textId="77777777" w:rsidR="006E2F20" w:rsidRPr="00D603EF" w:rsidRDefault="006E2F20" w:rsidP="006E2F20">
            <w:pPr>
              <w:pStyle w:val="TableBodyText"/>
              <w:rPr>
                <w:sz w:val="24"/>
                <w:szCs w:val="24"/>
              </w:rPr>
            </w:pPr>
            <w:r w:rsidRPr="00D603EF">
              <w:rPr>
                <w:sz w:val="24"/>
                <w:szCs w:val="24"/>
              </w:rPr>
              <w:t>Classification</w:t>
            </w:r>
          </w:p>
        </w:tc>
        <w:tc>
          <w:tcPr>
            <w:tcW w:w="6540" w:type="dxa"/>
            <w:gridSpan w:val="2"/>
          </w:tcPr>
          <w:p w14:paraId="1869567D" w14:textId="7639F0F7" w:rsidR="006E2F20" w:rsidRPr="00BF7FC7" w:rsidRDefault="006E2F20" w:rsidP="006E2F20">
            <w:pPr>
              <w:pStyle w:val="TableBodyText"/>
              <w:rPr>
                <w:sz w:val="24"/>
                <w:szCs w:val="24"/>
              </w:rPr>
            </w:pPr>
            <w:r w:rsidRPr="00E84E0B">
              <w:rPr>
                <w:rFonts w:eastAsia="Times New Roman" w:cs="Arial"/>
                <w:bCs/>
                <w:sz w:val="24"/>
                <w:szCs w:val="24"/>
              </w:rPr>
              <w:t>Allied Health Professional Level 1-2</w:t>
            </w:r>
          </w:p>
        </w:tc>
      </w:tr>
      <w:tr w:rsidR="004C4F86" w14:paraId="5FB94BE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B7ED6D9" w14:textId="77777777" w:rsidR="009D6E8A" w:rsidRPr="006E2F20" w:rsidRDefault="009D6E8A" w:rsidP="00C13D8F">
            <w:pPr>
              <w:pStyle w:val="TableBodyText"/>
              <w:rPr>
                <w:sz w:val="24"/>
                <w:szCs w:val="24"/>
              </w:rPr>
            </w:pPr>
            <w:r w:rsidRPr="006E2F20">
              <w:rPr>
                <w:sz w:val="24"/>
                <w:szCs w:val="24"/>
              </w:rPr>
              <w:t>Employment Conditions</w:t>
            </w:r>
          </w:p>
        </w:tc>
        <w:tc>
          <w:tcPr>
            <w:tcW w:w="6540" w:type="dxa"/>
            <w:gridSpan w:val="2"/>
          </w:tcPr>
          <w:p w14:paraId="3D040ED1" w14:textId="763E0ED1" w:rsidR="009D6E8A" w:rsidRPr="006E2F20" w:rsidRDefault="0085090D" w:rsidP="00BF7FC7">
            <w:pPr>
              <w:rPr>
                <w:sz w:val="24"/>
                <w:szCs w:val="24"/>
              </w:rPr>
            </w:pPr>
            <w:sdt>
              <w:sdtPr>
                <w:rPr>
                  <w:rStyle w:val="PlaceholderText"/>
                  <w:color w:val="auto"/>
                  <w:sz w:val="24"/>
                  <w:szCs w:val="24"/>
                </w:rPr>
                <w:id w:val="86980238"/>
                <w:placeholder>
                  <w:docPart w:val="E30EBDD2C996449DB9DD020482B1BC87"/>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6E2F20" w:rsidRPr="006E2F20">
                  <w:rPr>
                    <w:rStyle w:val="PlaceholderText"/>
                    <w:color w:val="auto"/>
                    <w:sz w:val="24"/>
                    <w:szCs w:val="24"/>
                  </w:rPr>
                  <w:t>Permanent/</w:t>
                </w:r>
                <w:proofErr w:type="gramStart"/>
                <w:r w:rsidR="006E2F20" w:rsidRPr="006E2F20">
                  <w:rPr>
                    <w:rStyle w:val="PlaceholderText"/>
                    <w:color w:val="auto"/>
                    <w:sz w:val="24"/>
                    <w:szCs w:val="24"/>
                  </w:rPr>
                  <w:t>Fixed-term</w:t>
                </w:r>
                <w:proofErr w:type="gramEnd"/>
                <w:r w:rsidR="006E2F20" w:rsidRPr="006E2F20">
                  <w:rPr>
                    <w:rStyle w:val="PlaceholderText"/>
                    <w:color w:val="auto"/>
                    <w:sz w:val="24"/>
                    <w:szCs w:val="24"/>
                  </w:rPr>
                  <w:t>/Casual, Full-time/Part-time/Casual</w:t>
                </w:r>
              </w:sdtContent>
            </w:sdt>
            <w:r w:rsidR="00D2771F" w:rsidRPr="006E2F20">
              <w:rPr>
                <w:rFonts w:eastAsia="Times New Roman" w:cs="Arial"/>
                <w:sz w:val="24"/>
                <w:szCs w:val="24"/>
              </w:rPr>
              <w:t xml:space="preserve"> </w:t>
            </w:r>
            <w:r w:rsidR="006E2F20" w:rsidRPr="006E2F20">
              <w:rPr>
                <w:rFonts w:eastAsia="Times New Roman" w:cs="Arial"/>
                <w:sz w:val="24"/>
                <w:szCs w:val="24"/>
              </w:rPr>
              <w:t xml:space="preserve">up to 76 </w:t>
            </w:r>
            <w:r w:rsidR="00D2771F" w:rsidRPr="006E2F20">
              <w:rPr>
                <w:rFonts w:eastAsia="Times New Roman" w:cs="Arial"/>
                <w:sz w:val="24"/>
                <w:szCs w:val="24"/>
              </w:rPr>
              <w:t>hours per fortnight</w:t>
            </w:r>
            <w:r w:rsidR="006E2F20" w:rsidRPr="006E2F20">
              <w:rPr>
                <w:rFonts w:eastAsia="Times New Roman" w:cs="Arial"/>
                <w:sz w:val="24"/>
                <w:szCs w:val="24"/>
              </w:rPr>
              <w:t>.</w:t>
            </w:r>
          </w:p>
        </w:tc>
      </w:tr>
      <w:tr w:rsidR="00D2771F" w14:paraId="11F6EFCE" w14:textId="77777777" w:rsidTr="00D2771F">
        <w:trPr>
          <w:trHeight w:val="362"/>
        </w:trPr>
        <w:tc>
          <w:tcPr>
            <w:tcW w:w="3152" w:type="dxa"/>
          </w:tcPr>
          <w:p w14:paraId="62A0DC6A"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5034BB01" w14:textId="0E568946" w:rsidR="00D2771F" w:rsidRPr="00BF7FC7" w:rsidRDefault="0085090D" w:rsidP="00D2771F">
            <w:pPr>
              <w:pStyle w:val="TableBodyText"/>
              <w:rPr>
                <w:sz w:val="24"/>
                <w:szCs w:val="24"/>
              </w:rPr>
            </w:pPr>
            <w:sdt>
              <w:sdtPr>
                <w:rPr>
                  <w:rFonts w:eastAsia="Times New Roman"/>
                  <w:color w:val="000000" w:themeColor="text1"/>
                  <w:sz w:val="24"/>
                  <w:szCs w:val="24"/>
                </w:rPr>
                <w:id w:val="-787747809"/>
                <w:placeholder>
                  <w:docPart w:val="51B7BF8C5A1F497CAAA0221F7800751A"/>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6E2F20">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r w:rsidR="00D2771F" w14:paraId="4D1F093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95A6E87" w14:textId="77777777" w:rsidR="00D2771F" w:rsidRPr="006E2F20" w:rsidRDefault="00D2771F" w:rsidP="00D2771F">
            <w:pPr>
              <w:pStyle w:val="TableBodyText"/>
              <w:rPr>
                <w:sz w:val="24"/>
                <w:szCs w:val="24"/>
              </w:rPr>
            </w:pPr>
            <w:r w:rsidRPr="006E2F20">
              <w:rPr>
                <w:sz w:val="24"/>
                <w:szCs w:val="24"/>
              </w:rPr>
              <w:t>Check Type</w:t>
            </w:r>
          </w:p>
        </w:tc>
        <w:tc>
          <w:tcPr>
            <w:tcW w:w="6540" w:type="dxa"/>
            <w:gridSpan w:val="2"/>
          </w:tcPr>
          <w:p w14:paraId="2D4F0FD4" w14:textId="47B9C918" w:rsidR="00D2771F" w:rsidRPr="006E2F20" w:rsidRDefault="0085090D" w:rsidP="00D2771F">
            <w:pPr>
              <w:pStyle w:val="TableBodyText"/>
              <w:rPr>
                <w:sz w:val="24"/>
                <w:szCs w:val="24"/>
              </w:rPr>
            </w:pPr>
            <w:sdt>
              <w:sdtPr>
                <w:rPr>
                  <w:rFonts w:eastAsia="Times New Roman"/>
                  <w:sz w:val="24"/>
                  <w:szCs w:val="24"/>
                </w:rPr>
                <w:id w:val="331334461"/>
                <w:placeholder>
                  <w:docPart w:val="7394996D675A4724AEEA6DABE007BE20"/>
                </w:placeholder>
                <w:dropDownList>
                  <w:listItem w:value="Choose an item."/>
                  <w:listItem w:displayText="Annulled" w:value="Annulled"/>
                  <w:listItem w:displayText="Schedule 1" w:value="Schedule 1"/>
                </w:dropDownList>
              </w:sdtPr>
              <w:sdtEndPr/>
              <w:sdtContent>
                <w:r w:rsidR="006E2F20" w:rsidRPr="006E2F20">
                  <w:rPr>
                    <w:rFonts w:eastAsia="Times New Roman"/>
                    <w:sz w:val="24"/>
                    <w:szCs w:val="24"/>
                  </w:rPr>
                  <w:t>Schedule 1</w:t>
                </w:r>
              </w:sdtContent>
            </w:sdt>
            <w:r w:rsidR="008C241C" w:rsidRPr="006E2F20">
              <w:rPr>
                <w:rFonts w:eastAsia="Times New Roman"/>
                <w:sz w:val="24"/>
                <w:szCs w:val="24"/>
              </w:rPr>
              <w:t xml:space="preserve"> </w:t>
            </w:r>
          </w:p>
        </w:tc>
      </w:tr>
      <w:tr w:rsidR="00D2771F" w14:paraId="1DF4A590" w14:textId="77777777" w:rsidTr="00D2771F">
        <w:trPr>
          <w:trHeight w:val="362"/>
        </w:trPr>
        <w:tc>
          <w:tcPr>
            <w:tcW w:w="3152" w:type="dxa"/>
          </w:tcPr>
          <w:p w14:paraId="3AB23F1B" w14:textId="77777777" w:rsidR="00D2771F" w:rsidRPr="00D603EF" w:rsidRDefault="00D2771F" w:rsidP="00D2771F">
            <w:pPr>
              <w:pStyle w:val="TableBodyText"/>
              <w:rPr>
                <w:sz w:val="24"/>
                <w:szCs w:val="24"/>
              </w:rPr>
            </w:pPr>
            <w:r w:rsidRPr="00D603EF">
              <w:rPr>
                <w:sz w:val="24"/>
                <w:szCs w:val="24"/>
              </w:rPr>
              <w:t>Check Frequency</w:t>
            </w:r>
          </w:p>
        </w:tc>
        <w:tc>
          <w:tcPr>
            <w:tcW w:w="6540" w:type="dxa"/>
            <w:gridSpan w:val="2"/>
          </w:tcPr>
          <w:p w14:paraId="632BAF65" w14:textId="4625A6DD" w:rsidR="00D2771F" w:rsidRPr="00BF7FC7" w:rsidRDefault="0085090D" w:rsidP="00D2771F">
            <w:pPr>
              <w:pStyle w:val="TableBodyText"/>
              <w:rPr>
                <w:rFonts w:eastAsia="Times New Roman"/>
                <w:color w:val="ED7D31"/>
                <w:sz w:val="24"/>
                <w:szCs w:val="24"/>
              </w:rPr>
            </w:pPr>
            <w:sdt>
              <w:sdtPr>
                <w:rPr>
                  <w:rFonts w:eastAsia="Times New Roman"/>
                  <w:sz w:val="24"/>
                  <w:szCs w:val="24"/>
                </w:rPr>
                <w:id w:val="2123720829"/>
                <w:placeholder>
                  <w:docPart w:val="7394996D675A4724AEEA6DABE007BE20"/>
                </w:placeholder>
                <w:dropDownList>
                  <w:listItem w:value="Choose an item."/>
                  <w:listItem w:displayText="Pre-employment" w:value="Pre-employment"/>
                  <w:listItem w:displayText="Pre-employment and Recurrent" w:value="Pre-employment and Recurrent"/>
                </w:dropDownList>
              </w:sdtPr>
              <w:sdtEndPr/>
              <w:sdtContent>
                <w:r w:rsidR="006E2F20" w:rsidRPr="006E2F20">
                  <w:rPr>
                    <w:rFonts w:eastAsia="Times New Roman"/>
                    <w:sz w:val="24"/>
                    <w:szCs w:val="24"/>
                  </w:rPr>
                  <w:t>Pre-employment</w:t>
                </w:r>
              </w:sdtContent>
            </w:sdt>
          </w:p>
        </w:tc>
      </w:tr>
    </w:tbl>
    <w:p w14:paraId="4D80400E" w14:textId="77777777" w:rsidR="00D2771F" w:rsidRDefault="00D2771F" w:rsidP="00697DE2">
      <w:pPr>
        <w:pStyle w:val="Heading2"/>
      </w:pPr>
      <w:r>
        <w:t>Context</w:t>
      </w:r>
    </w:p>
    <w:p w14:paraId="7BAF5303" w14:textId="77777777" w:rsidR="006E2F20" w:rsidRDefault="006E2F20" w:rsidP="006E2F20">
      <w:pPr>
        <w:jc w:val="both"/>
        <w:rPr>
          <w:sz w:val="24"/>
          <w:szCs w:val="24"/>
        </w:rPr>
      </w:pPr>
      <w:r>
        <w:rPr>
          <w:sz w:val="24"/>
          <w:szCs w:val="24"/>
        </w:rPr>
        <w:t>Department for Education, Children and Young People</w:t>
      </w:r>
      <w:r w:rsidRPr="00C6756C">
        <w:rPr>
          <w:sz w:val="24"/>
          <w:szCs w:val="24"/>
        </w:rPr>
        <w:t xml:space="preserve"> brings together a range of functions, programs and initiatives aimed at enhancing and improving the lives of all Tasmanians. To create strong, inclusive, and proud communities the Department will collaborate with our community-based partners to empower individuals and families throughout Tasmania to lead fulfilling lives. </w:t>
      </w:r>
    </w:p>
    <w:p w14:paraId="10109CC5" w14:textId="1D7A9C7F" w:rsidR="006E2F20" w:rsidRDefault="006E2F20" w:rsidP="006E2F20">
      <w:pPr>
        <w:jc w:val="both"/>
        <w:rPr>
          <w:sz w:val="24"/>
          <w:szCs w:val="24"/>
        </w:rPr>
      </w:pPr>
      <w:r>
        <w:rPr>
          <w:sz w:val="24"/>
          <w:szCs w:val="24"/>
        </w:rPr>
        <w:t>Department for Education, Children and Young People</w:t>
      </w:r>
      <w:r w:rsidRPr="00C6756C">
        <w:rPr>
          <w:sz w:val="24"/>
          <w:szCs w:val="24"/>
        </w:rPr>
        <w:t xml:space="preserve"> provides opportunities for all Tasmanians to participate in community life, sport, and recreation; supports, protects, and nurtures vulnerable children, young people, and their families; delivers and facilitates specialist disability services; and provides services to support social and affordable housing. The services of </w:t>
      </w:r>
      <w:r>
        <w:rPr>
          <w:sz w:val="24"/>
          <w:szCs w:val="24"/>
        </w:rPr>
        <w:t>Department for Education, Children and Young People</w:t>
      </w:r>
      <w:r w:rsidRPr="00C6756C">
        <w:rPr>
          <w:sz w:val="24"/>
          <w:szCs w:val="24"/>
        </w:rPr>
        <w:t xml:space="preserve"> are based in all major centres throughout Tasmania; therefore, some roles may require intrastate travel.</w:t>
      </w:r>
    </w:p>
    <w:p w14:paraId="685ADCA6" w14:textId="77777777" w:rsidR="006E2F20" w:rsidRPr="00C6756C" w:rsidRDefault="006E2F20" w:rsidP="006E2F20">
      <w:pPr>
        <w:jc w:val="both"/>
        <w:rPr>
          <w:sz w:val="24"/>
          <w:szCs w:val="24"/>
        </w:rPr>
      </w:pPr>
      <w:r>
        <w:rPr>
          <w:sz w:val="24"/>
          <w:szCs w:val="24"/>
        </w:rPr>
        <w:lastRenderedPageBreak/>
        <w:t>Department for Education, Children and Young People</w:t>
      </w:r>
      <w:r w:rsidRPr="00C6756C">
        <w:rPr>
          <w:sz w:val="24"/>
          <w:szCs w:val="24"/>
        </w:rPr>
        <w:t xml:space="preserve"> creates an environment where children’s safety and wellbeing are the centre of thought, values, and action - we are responsive to the needs of families and communities that we engage with. We are a child safe organisation that puts the safety of children and young people first, creating a culture, adopting strategies, and taking action to promote child wellbeing and prevent harm to children and young people.</w:t>
      </w:r>
    </w:p>
    <w:p w14:paraId="00CFB728" w14:textId="2AC09228" w:rsidR="006E2F20" w:rsidRPr="006E2F20" w:rsidRDefault="006E2F20" w:rsidP="006E2F20">
      <w:pPr>
        <w:pStyle w:val="Default"/>
        <w:spacing w:after="120" w:line="300" w:lineRule="atLeast"/>
        <w:jc w:val="both"/>
        <w:rPr>
          <w:rFonts w:asciiTheme="majorHAnsi" w:hAnsiTheme="majorHAnsi" w:cstheme="majorHAnsi"/>
          <w:color w:val="auto"/>
        </w:rPr>
      </w:pPr>
      <w:r w:rsidRPr="006E2F20">
        <w:rPr>
          <w:rFonts w:asciiTheme="majorHAnsi" w:hAnsiTheme="majorHAnsi" w:cstheme="majorHAnsi"/>
          <w:color w:val="auto"/>
        </w:rPr>
        <w:t xml:space="preserve">Child Safety Officers are Authorised Officers under the </w:t>
      </w:r>
      <w:proofErr w:type="gramStart"/>
      <w:r w:rsidRPr="006E2F20">
        <w:rPr>
          <w:rFonts w:asciiTheme="majorHAnsi" w:hAnsiTheme="majorHAnsi" w:cstheme="majorHAnsi"/>
          <w:i/>
        </w:rPr>
        <w:t>Children</w:t>
      </w:r>
      <w:r>
        <w:rPr>
          <w:rFonts w:asciiTheme="majorHAnsi" w:hAnsiTheme="majorHAnsi" w:cstheme="majorHAnsi"/>
          <w:i/>
        </w:rPr>
        <w:t>,</w:t>
      </w:r>
      <w:proofErr w:type="gramEnd"/>
      <w:r>
        <w:rPr>
          <w:rFonts w:asciiTheme="majorHAnsi" w:hAnsiTheme="majorHAnsi" w:cstheme="majorHAnsi"/>
          <w:i/>
        </w:rPr>
        <w:t xml:space="preserve"> </w:t>
      </w:r>
      <w:r w:rsidRPr="006E2F20">
        <w:rPr>
          <w:rFonts w:asciiTheme="majorHAnsi" w:hAnsiTheme="majorHAnsi" w:cstheme="majorHAnsi"/>
          <w:i/>
        </w:rPr>
        <w:t>Young Persons and their Families Act 1997</w:t>
      </w:r>
      <w:r w:rsidRPr="006E2F20">
        <w:rPr>
          <w:rFonts w:asciiTheme="majorHAnsi" w:hAnsiTheme="majorHAnsi" w:cstheme="majorHAnsi"/>
        </w:rPr>
        <w:t xml:space="preserve"> and are expected to work in accordance with section 20 of the Act. As a State Service employee, the Child Safety Officer is also required to work under the Code of Conduct contained in the </w:t>
      </w:r>
      <w:r w:rsidRPr="006E2F20">
        <w:rPr>
          <w:rFonts w:asciiTheme="majorHAnsi" w:hAnsiTheme="majorHAnsi" w:cstheme="majorHAnsi"/>
          <w:i/>
        </w:rPr>
        <w:t>State Service Act 2000</w:t>
      </w:r>
      <w:r w:rsidRPr="006E2F20">
        <w:rPr>
          <w:rFonts w:asciiTheme="majorHAnsi" w:hAnsiTheme="majorHAnsi" w:cstheme="majorHAnsi"/>
        </w:rPr>
        <w:t>.</w:t>
      </w:r>
    </w:p>
    <w:p w14:paraId="4C264282" w14:textId="3BB22DC2" w:rsidR="00D2771F" w:rsidRPr="006E2F20" w:rsidRDefault="006E2F20" w:rsidP="006E2F20">
      <w:pPr>
        <w:rPr>
          <w:rFonts w:asciiTheme="majorHAnsi" w:hAnsiTheme="majorHAnsi" w:cstheme="majorHAnsi"/>
          <w:sz w:val="24"/>
          <w:szCs w:val="24"/>
        </w:rPr>
      </w:pPr>
      <w:r w:rsidRPr="006E2F20">
        <w:rPr>
          <w:rFonts w:asciiTheme="majorHAnsi" w:hAnsiTheme="majorHAnsi" w:cstheme="majorHAnsi"/>
          <w:sz w:val="24"/>
          <w:szCs w:val="24"/>
        </w:rPr>
        <w:t>The Child Safety Officer is a generic role, and the incumbent may be required to work across different areas of the service, including the Intake, Response, Case Management or Out of Home Care teams.</w:t>
      </w:r>
      <w:r w:rsidR="00D2771F" w:rsidRPr="006E2F20">
        <w:rPr>
          <w:rFonts w:asciiTheme="majorHAnsi" w:eastAsia="Times New Roman" w:hAnsiTheme="majorHAnsi" w:cstheme="majorHAnsi"/>
          <w:color w:val="ED7D31"/>
          <w:sz w:val="24"/>
          <w:szCs w:val="24"/>
        </w:rPr>
        <w:t>.</w:t>
      </w:r>
    </w:p>
    <w:p w14:paraId="72D264DE" w14:textId="77777777" w:rsidR="009D6E8A" w:rsidRPr="00190B67" w:rsidRDefault="009D6E8A" w:rsidP="00697DE2">
      <w:pPr>
        <w:pStyle w:val="Heading2"/>
      </w:pPr>
      <w:r w:rsidRPr="00190B67">
        <w:t>Primary Purpose</w:t>
      </w:r>
    </w:p>
    <w:p w14:paraId="6C340E49" w14:textId="77777777" w:rsidR="006E2F20" w:rsidRPr="006E2F20" w:rsidRDefault="006E2F20" w:rsidP="006E2F20">
      <w:pPr>
        <w:pStyle w:val="BulletedListLevel1"/>
        <w:numPr>
          <w:ilvl w:val="0"/>
          <w:numId w:val="0"/>
        </w:numPr>
        <w:rPr>
          <w:rFonts w:ascii="Arial" w:hAnsi="Arial" w:cs="Arial"/>
        </w:rPr>
      </w:pPr>
      <w:r w:rsidRPr="006E2F20">
        <w:rPr>
          <w:rFonts w:ascii="Arial" w:hAnsi="Arial" w:cs="Arial"/>
        </w:rPr>
        <w:t xml:space="preserve">The </w:t>
      </w:r>
      <w:r w:rsidRPr="006E2F20">
        <w:rPr>
          <w:rFonts w:ascii="Arial" w:hAnsi="Arial" w:cs="Arial"/>
          <w:i/>
        </w:rPr>
        <w:t>Children, Young Persons and their Families Act 1997</w:t>
      </w:r>
      <w:r w:rsidRPr="006E2F20">
        <w:rPr>
          <w:rFonts w:ascii="Arial" w:hAnsi="Arial" w:cs="Arial"/>
        </w:rPr>
        <w:t xml:space="preserve"> provides the legal mandate for the department to take action to protect children and young people from abuse and neglect and promote their safety stability and development. Child Safety Workers have a specific statutory role in protecting children and young people from harm and promoting their rights and healthy development. In Tasmania, Child Support Officers work within a legislative framework, the Child Protection Practice Framework, and the Child Protection Professional Practice Standards (attached). </w:t>
      </w:r>
    </w:p>
    <w:p w14:paraId="24150740" w14:textId="77777777" w:rsidR="006E2F20" w:rsidRPr="006E2F20" w:rsidRDefault="006E2F20" w:rsidP="006E2F20">
      <w:pPr>
        <w:pStyle w:val="BulletedListLevel1"/>
        <w:numPr>
          <w:ilvl w:val="0"/>
          <w:numId w:val="0"/>
        </w:numPr>
        <w:rPr>
          <w:rFonts w:ascii="Arial" w:hAnsi="Arial" w:cs="Arial"/>
        </w:rPr>
      </w:pPr>
      <w:r w:rsidRPr="006E2F20">
        <w:rPr>
          <w:rFonts w:ascii="Arial" w:hAnsi="Arial" w:cs="Arial"/>
        </w:rPr>
        <w:t>Child Safety Officers are responsible for receiving, investigating, and assessing notifications of children at risk of harm from abuse or neglect. They work with families and other professionals to resolve problems and keep children safe. In circumstances of severe risk, Child Safety Officers may be involved in legal interventions in the Magistrates Court.</w:t>
      </w:r>
    </w:p>
    <w:p w14:paraId="55C3D81F" w14:textId="77777777" w:rsidR="006E2F20" w:rsidRPr="006E2F20" w:rsidRDefault="006E2F20" w:rsidP="006E2F20">
      <w:pPr>
        <w:pStyle w:val="BulletedListLevel1"/>
        <w:numPr>
          <w:ilvl w:val="0"/>
          <w:numId w:val="0"/>
        </w:numPr>
        <w:rPr>
          <w:rFonts w:ascii="Arial" w:hAnsi="Arial" w:cs="Arial"/>
        </w:rPr>
      </w:pPr>
      <w:r w:rsidRPr="006E2F20">
        <w:rPr>
          <w:rFonts w:ascii="Arial" w:hAnsi="Arial" w:cs="Arial"/>
        </w:rPr>
        <w:t>Child Safety Officers have sound self-management skills, self-awareness, and emotional maturity, with the ability to understand the personal impacts of child protection work and strategies for managing stress and building resilience. It is important that Child Safety Officers have the ability to conduct work with integrity and honesty, adhere to confidentiality requirements, and demonstrate a commitment to working with children, young people, and their families.</w:t>
      </w:r>
    </w:p>
    <w:p w14:paraId="6E0D8C7A"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54062CEC" w14:textId="77777777" w:rsidR="0085090D" w:rsidRPr="00C276F6" w:rsidRDefault="0085090D" w:rsidP="0085090D">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bookmarkStart w:id="1" w:name="_Hlk127543251"/>
      <w:r w:rsidRPr="00C276F6">
        <w:rPr>
          <w:sz w:val="24"/>
          <w:szCs w:val="24"/>
        </w:rPr>
        <w:t>Work within an allocated team, including Intake Services, Response Services, Case Management or Out of Home Care and Adoption Services, to undertake primary tasks assigned.</w:t>
      </w:r>
    </w:p>
    <w:p w14:paraId="0BF64D81" w14:textId="77777777" w:rsidR="0085090D" w:rsidRPr="00C276F6" w:rsidRDefault="0085090D" w:rsidP="0085090D">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r w:rsidRPr="00C276F6">
        <w:rPr>
          <w:sz w:val="24"/>
          <w:szCs w:val="24"/>
        </w:rPr>
        <w:t>Reports and information will be accurate and objective in order to be presented to the Court and other statutory organisations concerned.</w:t>
      </w:r>
    </w:p>
    <w:p w14:paraId="0307F355" w14:textId="77777777" w:rsidR="0085090D" w:rsidRPr="00C276F6" w:rsidRDefault="0085090D" w:rsidP="0085090D">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r w:rsidRPr="00C276F6">
        <w:rPr>
          <w:sz w:val="24"/>
          <w:szCs w:val="24"/>
        </w:rPr>
        <w:t>Work within designated delegations, legislative requirements, set guidelines and time frames.</w:t>
      </w:r>
    </w:p>
    <w:p w14:paraId="630EB076" w14:textId="77777777" w:rsidR="0085090D" w:rsidRDefault="0085090D" w:rsidP="0085090D">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r w:rsidRPr="00C276F6">
        <w:rPr>
          <w:sz w:val="24"/>
          <w:szCs w:val="24"/>
        </w:rPr>
        <w:lastRenderedPageBreak/>
        <w:t>Adhere to relevant Work Health and Safety legislation in order to perform duties.</w:t>
      </w:r>
    </w:p>
    <w:p w14:paraId="45947BA1" w14:textId="77777777" w:rsidR="0085090D" w:rsidRPr="00C276F6" w:rsidRDefault="0085090D" w:rsidP="0085090D">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r w:rsidRPr="00C276F6">
        <w:rPr>
          <w:sz w:val="24"/>
          <w:szCs w:val="24"/>
        </w:rPr>
        <w:t>Use general guidelines, Departmental procedure manuals and documents to exercise professional judgement when working under limited direction.</w:t>
      </w:r>
    </w:p>
    <w:p w14:paraId="6C57BB62" w14:textId="77777777" w:rsidR="0085090D" w:rsidRPr="00C276F6" w:rsidRDefault="0085090D" w:rsidP="0085090D">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r w:rsidRPr="00C276F6">
        <w:rPr>
          <w:sz w:val="24"/>
          <w:szCs w:val="24"/>
        </w:rPr>
        <w:t xml:space="preserve">Participate in supervision provided by the </w:t>
      </w:r>
      <w:r>
        <w:rPr>
          <w:sz w:val="24"/>
          <w:szCs w:val="24"/>
        </w:rPr>
        <w:t>Practice Leader</w:t>
      </w:r>
      <w:r w:rsidRPr="00C276F6">
        <w:rPr>
          <w:sz w:val="24"/>
          <w:szCs w:val="24"/>
        </w:rPr>
        <w:t>, Senior Practice Consultant or Manager - Child Safety as applicable.</w:t>
      </w:r>
    </w:p>
    <w:p w14:paraId="7591ECD8" w14:textId="2FC768E6" w:rsidR="00D2771F" w:rsidRPr="0085090D" w:rsidRDefault="0085090D" w:rsidP="00697DE2">
      <w:pPr>
        <w:pStyle w:val="ListParagraph"/>
        <w:numPr>
          <w:ilvl w:val="0"/>
          <w:numId w:val="41"/>
        </w:numPr>
        <w:tabs>
          <w:tab w:val="clear" w:pos="227"/>
          <w:tab w:val="clear" w:pos="454"/>
          <w:tab w:val="clear" w:pos="680"/>
          <w:tab w:val="clear" w:pos="907"/>
          <w:tab w:val="clear" w:pos="1134"/>
          <w:tab w:val="clear" w:pos="1361"/>
        </w:tabs>
        <w:spacing w:after="200" w:line="276" w:lineRule="auto"/>
        <w:ind w:left="567" w:hanging="567"/>
        <w:jc w:val="both"/>
        <w:rPr>
          <w:sz w:val="24"/>
          <w:szCs w:val="24"/>
        </w:rPr>
      </w:pPr>
      <w:r w:rsidRPr="00C276F6">
        <w:rPr>
          <w:sz w:val="24"/>
          <w:szCs w:val="24"/>
        </w:rPr>
        <w:t>Undertake work with integrity and honesty, adhering to confidentiality requirements and demonstrate a commitment to working with children, young people, and their families.</w:t>
      </w:r>
      <w:r w:rsidR="00D2771F" w:rsidRPr="0085090D">
        <w:rPr>
          <w:rFonts w:eastAsia="Times New Roman"/>
          <w:color w:val="ED7D31"/>
          <w:sz w:val="24"/>
          <w:szCs w:val="20"/>
        </w:rPr>
        <w:t>:</w:t>
      </w:r>
    </w:p>
    <w:p w14:paraId="7A3801B7"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1A6D55F"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8547C26"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BFDD9EC" w14:textId="77777777" w:rsidR="001733FD" w:rsidRDefault="009D6E8A" w:rsidP="00697DE2">
      <w:pPr>
        <w:pStyle w:val="Heading2"/>
        <w:rPr>
          <w:color w:val="011947"/>
        </w:rPr>
      </w:pPr>
      <w:r w:rsidRPr="00190B67">
        <w:rPr>
          <w:color w:val="011947"/>
        </w:rPr>
        <w:t>Primary Duties</w:t>
      </w:r>
    </w:p>
    <w:p w14:paraId="6B61371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19F61B7" wp14:editId="0A748E0A">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8C8AA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E74B653"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Under general supervision, provide quality, timely and effective intervention, and case management services within a defined child safety service delivery framework, working within the Tasmanian Child Protection Professional Practice Standards.</w:t>
      </w:r>
    </w:p>
    <w:p w14:paraId="4E835EB3"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Use effective pre-planning, planning and time management strategies to manage caseloads.</w:t>
      </w:r>
    </w:p>
    <w:p w14:paraId="20D4DCFC"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Establish and maintain effective partnerships with children, young people, their families, and service providers, using a range of appropriate communication, collaboration and decision-making processes.</w:t>
      </w:r>
    </w:p>
    <w:p w14:paraId="212E6EDD"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Engage and work with children and young persons and their families to promote safety, stability, and development of the child, and to strengthen family capacity. This includes directly guiding, encouraging, and supporting the child and family while monitoring impacts and outcomes.</w:t>
      </w:r>
    </w:p>
    <w:p w14:paraId="0D5FDA6C"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Respond to and investigate reports concerning children at risk of harm and undertake assessments of the child and their circumstances using standard assessment and intervention procedures.</w:t>
      </w:r>
    </w:p>
    <w:p w14:paraId="314B1550"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lastRenderedPageBreak/>
        <w:t xml:space="preserve">Exercise legal delegations as an Authorised Officer and functions pursuant to the </w:t>
      </w:r>
      <w:r w:rsidRPr="001D0586">
        <w:rPr>
          <w:i/>
          <w:iCs/>
          <w:sz w:val="24"/>
          <w:szCs w:val="24"/>
        </w:rPr>
        <w:t>Children, Young Persons and their Families Act 1997</w:t>
      </w:r>
      <w:r w:rsidRPr="00C276F6">
        <w:rPr>
          <w:sz w:val="24"/>
          <w:szCs w:val="24"/>
        </w:rPr>
        <w:t>.</w:t>
      </w:r>
    </w:p>
    <w:p w14:paraId="287D5AC2"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 xml:space="preserve">In consultation with a </w:t>
      </w:r>
      <w:r>
        <w:rPr>
          <w:sz w:val="24"/>
          <w:szCs w:val="24"/>
        </w:rPr>
        <w:t>Practice Leader</w:t>
      </w:r>
      <w:r w:rsidRPr="00C276F6">
        <w:rPr>
          <w:sz w:val="24"/>
          <w:szCs w:val="24"/>
        </w:rPr>
        <w:t xml:space="preserve">, prepare and present information and documentation for relevant court processes, such as preparing affidavits to support applications before the Magistrates Court (Children’s Division). </w:t>
      </w:r>
    </w:p>
    <w:p w14:paraId="6C0F7CE5"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 xml:space="preserve">In consultation with a </w:t>
      </w:r>
      <w:r>
        <w:rPr>
          <w:sz w:val="24"/>
          <w:szCs w:val="24"/>
        </w:rPr>
        <w:t>Practice</w:t>
      </w:r>
      <w:r w:rsidRPr="00C276F6">
        <w:rPr>
          <w:sz w:val="24"/>
          <w:szCs w:val="24"/>
        </w:rPr>
        <w:t xml:space="preserve"> Leader and other specialists, make recommendations to the Court on decisions and actions in the best interests of the child.</w:t>
      </w:r>
    </w:p>
    <w:p w14:paraId="293754C7"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 xml:space="preserve">Work collaboratively with team members, </w:t>
      </w:r>
      <w:r>
        <w:rPr>
          <w:sz w:val="24"/>
          <w:szCs w:val="24"/>
        </w:rPr>
        <w:t>practice leaders</w:t>
      </w:r>
      <w:r w:rsidRPr="00C276F6">
        <w:rPr>
          <w:sz w:val="24"/>
          <w:szCs w:val="24"/>
        </w:rPr>
        <w:t xml:space="preserve"> and other specialists in the development and review of best interests plans related to strengthening families and promoting a child’s safety, stability and development. </w:t>
      </w:r>
    </w:p>
    <w:p w14:paraId="4ABC2C3C"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sz w:val="24"/>
          <w:szCs w:val="24"/>
        </w:rPr>
        <w:t xml:space="preserve"> </w:t>
      </w:r>
      <w:r w:rsidRPr="00C276F6">
        <w:rPr>
          <w:sz w:val="24"/>
          <w:szCs w:val="24"/>
        </w:rPr>
        <w:t>Develop plans, compile reports, and accurately update and maintain client information, both written and electronic, to a professional standard and in accordance with departmental guidelines and confidentiality principles.</w:t>
      </w:r>
    </w:p>
    <w:p w14:paraId="2FF9E0C0"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Provide information to children, families and service providers on procedures, practices, guidelines, and legislation and provide advice and case consultation on reports regarding child safety and wellbeing and the role of Child Safety in those matters.</w:t>
      </w:r>
    </w:p>
    <w:p w14:paraId="202FEF42"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Participate in professional supervision and development activities to maintain knowledge of legislative requirements, child’s social and developmental needs, and case management techniques.</w:t>
      </w:r>
    </w:p>
    <w:p w14:paraId="69FA71B8"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Participate in consultative processes to improve workplace health and safety and observe the safe work practices, including procedures, guidelines, and policies.</w:t>
      </w:r>
    </w:p>
    <w:p w14:paraId="47E98945" w14:textId="77777777" w:rsidR="0085090D" w:rsidRPr="00C276F6"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Develop an awareness and understanding of the Agency, its goals and operations, and the relevant legislative framework for child protection.</w:t>
      </w:r>
    </w:p>
    <w:p w14:paraId="6543E558" w14:textId="77777777" w:rsidR="0085090D" w:rsidRDefault="0085090D" w:rsidP="0085090D">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sz w:val="24"/>
          <w:szCs w:val="24"/>
        </w:rPr>
        <w:t>Ensure the safety and wellbeing of vulnerable people you may be working with (including children and young people) and immediately report any concerns, disclosures, allegations, or suspicions of harm. Actively participate in and contribute to practices that will ensure Department for Education, Children and Young People</w:t>
      </w:r>
      <w:r w:rsidRPr="00C6756C">
        <w:rPr>
          <w:sz w:val="24"/>
          <w:szCs w:val="24"/>
        </w:rPr>
        <w:t xml:space="preserve"> </w:t>
      </w:r>
      <w:r>
        <w:rPr>
          <w:sz w:val="24"/>
          <w:szCs w:val="24"/>
        </w:rPr>
        <w:t xml:space="preserve">is a child safe organisation including reporting, record keeping and information sharing obligations. </w:t>
      </w:r>
    </w:p>
    <w:p w14:paraId="26E9CB3D"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226A40C"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F7045BD" w14:textId="77777777" w:rsidR="009D6E8A" w:rsidRPr="00190B67" w:rsidRDefault="009D6E8A" w:rsidP="00697DE2">
      <w:pPr>
        <w:pStyle w:val="Heading2"/>
        <w:rPr>
          <w:color w:val="011947"/>
        </w:rPr>
      </w:pPr>
      <w:r w:rsidRPr="00190B67">
        <w:rPr>
          <w:color w:val="011947"/>
        </w:rPr>
        <w:lastRenderedPageBreak/>
        <w:t>Selection Criteria</w:t>
      </w:r>
    </w:p>
    <w:p w14:paraId="2130345C"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15578F3"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479D70C" wp14:editId="413BB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059EE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A8D1AAD" w14:textId="77777777" w:rsidR="0085090D" w:rsidRPr="00C276F6" w:rsidRDefault="0085090D" w:rsidP="0085090D">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Building Relationships: Identifies and initiates contact with key individuals and or groups who are important in decision making processes or who can provide information, support, expertise, or assistance, invests time to create and maintain professional relationships based on mutual respect and contributes to a supportive and collaborative team environment, including being an effective team member.</w:t>
      </w:r>
    </w:p>
    <w:p w14:paraId="22453970" w14:textId="77777777" w:rsidR="0085090D" w:rsidRPr="00C276F6" w:rsidRDefault="0085090D" w:rsidP="0085090D">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Casework: Knowledge of and/or experience in assessment and casework intervention with individuals and families who have complex needs, and knowledge of theoretical perspectives that relate to child protection practice and the ability to apply this in a service delivery context.</w:t>
      </w:r>
    </w:p>
    <w:p w14:paraId="54B94851" w14:textId="77777777" w:rsidR="0085090D" w:rsidRPr="00C276F6" w:rsidRDefault="0085090D" w:rsidP="0085090D">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Interpreting and Analysing Information: Capacity to draw upon relevant information, including alternate points of view and legislative requirements, to logically assess and analyse a situation, and use sound professional judgement to decide the best way forward.</w:t>
      </w:r>
    </w:p>
    <w:p w14:paraId="631821F7" w14:textId="77777777" w:rsidR="0085090D" w:rsidRPr="00C276F6" w:rsidRDefault="0085090D" w:rsidP="0085090D">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 xml:space="preserve">Communication: Ability to confidently present both written and verbal messages, whilst seeking to respectfully understand a variety of stakeholder needs and tailoring communication style and message accordingly, even in complex and difficult circumstances. </w:t>
      </w:r>
    </w:p>
    <w:p w14:paraId="2FDBF911" w14:textId="77777777" w:rsidR="0085090D" w:rsidRPr="00C276F6" w:rsidRDefault="0085090D" w:rsidP="0085090D">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 xml:space="preserve">Self-Management: Demonstrates initiative, self-motivation. Possesses well developed organisational and time management skills, with a proven ability to set clear goals and tasks to deal with competing demands within established timeframes, to plan and prioritise workloads along with a demonstrated capacity to be flexible, self-motivated and show initiative. </w:t>
      </w:r>
    </w:p>
    <w:p w14:paraId="24EED014" w14:textId="77777777" w:rsidR="0085090D" w:rsidRDefault="0085090D" w:rsidP="0085090D">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C276F6">
        <w:rPr>
          <w:sz w:val="24"/>
          <w:szCs w:val="24"/>
        </w:rPr>
        <w:t>Confidence and independence: Act and speak confidently, respectfully, and independently especially in difficult or stressful circumstances; takes responsibility for own actions and exercises professional authority appropriately.</w:t>
      </w:r>
    </w:p>
    <w:p w14:paraId="70675049"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67FEE97" w14:textId="77777777" w:rsidR="009D6E8A" w:rsidRPr="00190B67" w:rsidRDefault="009D6E8A" w:rsidP="00697DE2">
      <w:pPr>
        <w:pStyle w:val="Heading2"/>
        <w:rPr>
          <w:color w:val="011947"/>
        </w:rPr>
      </w:pPr>
      <w:r w:rsidRPr="00190B67">
        <w:rPr>
          <w:color w:val="011947"/>
        </w:rPr>
        <w:t>Requirements</w:t>
      </w:r>
    </w:p>
    <w:p w14:paraId="34F0EA40"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8007A3C"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9577976" w14:textId="77777777" w:rsidR="00D2771F" w:rsidRPr="006373A0" w:rsidRDefault="00D2771F" w:rsidP="00697DE2">
            <w:pPr>
              <w:rPr>
                <w:sz w:val="24"/>
                <w:szCs w:val="24"/>
              </w:rPr>
            </w:pPr>
            <w:bookmarkStart w:id="3" w:name="_Hlk173332693"/>
            <w:bookmarkEnd w:id="2"/>
            <w:r w:rsidRPr="00A65F3B">
              <w:rPr>
                <w:b/>
                <w:sz w:val="24"/>
                <w:szCs w:val="24"/>
              </w:rPr>
              <w:lastRenderedPageBreak/>
              <w:t>Essential</w:t>
            </w:r>
          </w:p>
        </w:tc>
        <w:tc>
          <w:tcPr>
            <w:tcW w:w="7763" w:type="dxa"/>
          </w:tcPr>
          <w:p w14:paraId="4BDB6009" w14:textId="77777777" w:rsidR="00D2771F" w:rsidRPr="0085090D" w:rsidRDefault="00D2771F" w:rsidP="00697DE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85090D">
              <w:rPr>
                <w:rFonts w:eastAsia="Times New Roman" w:cs="Segoe UI"/>
                <w:color w:val="000000"/>
                <w:sz w:val="24"/>
                <w:szCs w:val="24"/>
              </w:rPr>
              <w:t>Current Tasmanian Registration to Work with Vulnerable People (Registration Status – Employment)</w:t>
            </w:r>
          </w:p>
          <w:p w14:paraId="2F181449" w14:textId="394964BE" w:rsidR="00D2771F" w:rsidRPr="0085090D" w:rsidRDefault="00D2771F" w:rsidP="0085090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85090D">
              <w:rPr>
                <w:rFonts w:eastAsia="Times New Roman"/>
                <w:sz w:val="24"/>
                <w:szCs w:val="24"/>
              </w:rPr>
              <w:t xml:space="preserve">A </w:t>
            </w:r>
            <w:r w:rsidR="0085090D" w:rsidRPr="0085090D">
              <w:rPr>
                <w:rFonts w:eastAsia="Times New Roman" w:cs="Calibri"/>
                <w:color w:val="000000"/>
                <w:sz w:val="24"/>
                <w:szCs w:val="24"/>
              </w:rPr>
              <w:t>tertiary qualification approved by the relevant National Board, for example a Bachelor of Social Work, and eligibility for membership with the relevant National Board or professional association; or</w:t>
            </w:r>
          </w:p>
          <w:p w14:paraId="65C25A49" w14:textId="06411C25" w:rsidR="0085090D" w:rsidRPr="0085090D" w:rsidRDefault="0085090D" w:rsidP="0085090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85090D">
              <w:rPr>
                <w:rFonts w:eastAsia="Times New Roman"/>
                <w:sz w:val="24"/>
                <w:szCs w:val="24"/>
              </w:rPr>
              <w:t xml:space="preserve">An </w:t>
            </w:r>
            <w:r w:rsidRPr="0085090D">
              <w:rPr>
                <w:rFonts w:eastAsia="Times New Roman" w:cs="Calibri"/>
                <w:sz w:val="24"/>
                <w:szCs w:val="24"/>
              </w:rPr>
              <w:t>alternativ</w:t>
            </w:r>
            <w:r w:rsidRPr="0085090D">
              <w:rPr>
                <w:rFonts w:eastAsia="Times New Roman" w:cs="Calibri"/>
                <w:color w:val="000000"/>
                <w:sz w:val="24"/>
                <w:szCs w:val="24"/>
              </w:rPr>
              <w:t>e tertiary qualification (AQF Level 7 Qualification) in a discipline considered relevant to the duties, for example Bachelor of Arts with a Major in Psychology, Bachelor of Youth Work, Bachelor of Psychological Science; or</w:t>
            </w:r>
          </w:p>
          <w:p w14:paraId="424AC389" w14:textId="7CFF33A5" w:rsidR="0085090D" w:rsidRPr="0085090D" w:rsidRDefault="0085090D" w:rsidP="0085090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85090D">
              <w:rPr>
                <w:rFonts w:eastAsia="Times New Roman"/>
                <w:sz w:val="24"/>
                <w:szCs w:val="24"/>
              </w:rPr>
              <w:t xml:space="preserve">An </w:t>
            </w:r>
            <w:r w:rsidRPr="0085090D">
              <w:rPr>
                <w:rFonts w:eastAsia="Times New Roman" w:cs="Calibri"/>
                <w:color w:val="000000"/>
                <w:sz w:val="24"/>
                <w:szCs w:val="24"/>
              </w:rPr>
              <w:t>Associate Degree, Advanced Diploma or Diploma (AQF Level 5 or 6 Qualification) in a discipline considered relevant to the duties, for example a Diploma in Community Services.</w:t>
            </w:r>
          </w:p>
          <w:p w14:paraId="3E2A89D1" w14:textId="12D725EE" w:rsidR="0085090D" w:rsidRPr="0085090D" w:rsidRDefault="0085090D" w:rsidP="0085090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85090D">
              <w:rPr>
                <w:rFonts w:eastAsia="Times New Roman"/>
                <w:sz w:val="24"/>
                <w:szCs w:val="24"/>
              </w:rPr>
              <w:t>D</w:t>
            </w:r>
            <w:r w:rsidRPr="0085090D">
              <w:rPr>
                <w:sz w:val="24"/>
                <w:szCs w:val="24"/>
              </w:rPr>
              <w:t>river’s Licence.</w:t>
            </w:r>
          </w:p>
          <w:p w14:paraId="49CF07D7" w14:textId="3238A56C" w:rsidR="00D2771F" w:rsidRPr="0085090D" w:rsidRDefault="00D2771F" w:rsidP="00697DE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85090D">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be conducted: </w:t>
            </w:r>
          </w:p>
          <w:p w14:paraId="266C9C59" w14:textId="77777777" w:rsidR="00D2771F" w:rsidRPr="0085090D" w:rsidRDefault="00D2771F" w:rsidP="00697DE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Conviction checks in the following areas:</w:t>
            </w:r>
          </w:p>
          <w:p w14:paraId="2FB6C29F" w14:textId="77777777" w:rsidR="00D2771F" w:rsidRPr="0085090D" w:rsidRDefault="00D2771F" w:rsidP="00697DE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crimes of violence</w:t>
            </w:r>
          </w:p>
          <w:p w14:paraId="115521C2" w14:textId="77777777" w:rsidR="00D2771F" w:rsidRPr="0085090D" w:rsidRDefault="00D2771F" w:rsidP="00697DE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sex related offences</w:t>
            </w:r>
          </w:p>
          <w:p w14:paraId="09FCDAB5" w14:textId="77777777" w:rsidR="00D2771F" w:rsidRPr="0085090D" w:rsidRDefault="00D2771F" w:rsidP="00697DE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serious drug offences</w:t>
            </w:r>
          </w:p>
          <w:p w14:paraId="445F1351" w14:textId="77777777" w:rsidR="00D2771F" w:rsidRPr="0085090D" w:rsidRDefault="00D2771F" w:rsidP="00697DE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crimes involving dishonesty</w:t>
            </w:r>
          </w:p>
          <w:p w14:paraId="0E74E1CC" w14:textId="77777777" w:rsidR="00D2771F" w:rsidRPr="0085090D" w:rsidRDefault="00D2771F" w:rsidP="00697DE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serious traffic offences</w:t>
            </w:r>
          </w:p>
          <w:p w14:paraId="3506FAA5" w14:textId="77777777" w:rsidR="0030202C" w:rsidRPr="0085090D" w:rsidRDefault="00D2771F" w:rsidP="00697DE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Identification check</w:t>
            </w:r>
          </w:p>
          <w:p w14:paraId="67CA53DF" w14:textId="77777777" w:rsidR="00D2771F" w:rsidRPr="0085090D" w:rsidRDefault="00D2771F" w:rsidP="00697DE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85090D">
              <w:rPr>
                <w:rFonts w:eastAsia="Times New Roman" w:cs="Arial"/>
                <w:bCs/>
                <w:sz w:val="24"/>
                <w:szCs w:val="24"/>
              </w:rPr>
              <w:t>Disciplinary actions in previous employment check</w:t>
            </w:r>
          </w:p>
        </w:tc>
      </w:tr>
      <w:tr w:rsidR="00D2771F" w14:paraId="74F29885"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55E430A" w14:textId="77777777" w:rsidR="00D2771F" w:rsidRPr="00A65F3B" w:rsidRDefault="00D2771F" w:rsidP="00697DE2">
            <w:pPr>
              <w:rPr>
                <w:b/>
                <w:sz w:val="24"/>
                <w:szCs w:val="24"/>
              </w:rPr>
            </w:pPr>
            <w:r w:rsidRPr="00A65F3B">
              <w:rPr>
                <w:b/>
                <w:sz w:val="24"/>
                <w:szCs w:val="24"/>
              </w:rPr>
              <w:t>Desirable</w:t>
            </w:r>
          </w:p>
        </w:tc>
        <w:tc>
          <w:tcPr>
            <w:tcW w:w="7763" w:type="dxa"/>
          </w:tcPr>
          <w:p w14:paraId="785BCDC9" w14:textId="223AA559" w:rsidR="00D2771F" w:rsidRPr="0085090D" w:rsidRDefault="0085090D" w:rsidP="0085090D">
            <w:pPr>
              <w:pStyle w:val="ListParagraph"/>
              <w:numPr>
                <w:ilvl w:val="0"/>
                <w:numId w:val="42"/>
              </w:numPr>
              <w:tabs>
                <w:tab w:val="clear" w:pos="454"/>
                <w:tab w:val="clear" w:pos="680"/>
                <w:tab w:val="clear" w:pos="1134"/>
              </w:tabs>
              <w:spacing w:before="120" w:line="259" w:lineRule="auto"/>
              <w:ind w:left="145" w:hanging="283"/>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85090D">
              <w:rPr>
                <w:rFonts w:eastAsia="Times New Roman"/>
                <w:sz w:val="24"/>
                <w:szCs w:val="24"/>
              </w:rPr>
              <w:t xml:space="preserve">Relevant </w:t>
            </w:r>
            <w:r w:rsidRPr="0085090D">
              <w:rPr>
                <w:rFonts w:eastAsia="Times New Roman"/>
                <w:sz w:val="24"/>
                <w:szCs w:val="24"/>
              </w:rPr>
              <w:t>experience in case management/casework practice within a child safety or similar context or experience within the broader human/family services sector in particular child/maternal health, mental health, drug and alcohol, community health or youth health.</w:t>
            </w:r>
          </w:p>
        </w:tc>
      </w:tr>
    </w:tbl>
    <w:bookmarkEnd w:id="0"/>
    <w:bookmarkEnd w:id="3"/>
    <w:p w14:paraId="19D213F0"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B53AE23" w14:textId="77777777" w:rsidR="007773F9" w:rsidRDefault="007773F9" w:rsidP="00697DE2">
      <w:pPr>
        <w:rPr>
          <w:sz w:val="24"/>
          <w:szCs w:val="24"/>
        </w:rPr>
      </w:pPr>
      <w:r>
        <w:rPr>
          <w:noProof/>
        </w:rPr>
        <w:drawing>
          <wp:inline distT="0" distB="0" distL="0" distR="0" wp14:anchorId="29FA0F86" wp14:editId="79324EDC">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44C4749"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3D579BCE" w14:textId="77777777" w:rsidR="00D2771F" w:rsidRDefault="00D2771F" w:rsidP="00697DE2">
      <w:pPr>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6500F0F8"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02950B4"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C09F7D5"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25759CB1"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C0904F3"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10F9F2A" w14:textId="77777777" w:rsidR="00D2771F" w:rsidRPr="00B732A4" w:rsidRDefault="00D2771F" w:rsidP="00697DE2">
      <w:pPr>
        <w:pStyle w:val="Heading2"/>
        <w:rPr>
          <w:color w:val="011947"/>
        </w:rPr>
      </w:pPr>
      <w:r w:rsidRPr="00B732A4">
        <w:rPr>
          <w:color w:val="011947"/>
        </w:rPr>
        <w:t>Commitment to Children and Young People</w:t>
      </w:r>
    </w:p>
    <w:p w14:paraId="7F59F3A2"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38E484EA" w14:textId="77777777" w:rsidR="00D2771F" w:rsidRPr="00B732A4" w:rsidRDefault="00D2771F" w:rsidP="0085090D">
      <w:pPr>
        <w:spacing w:after="960"/>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1CBD09D" w14:textId="77777777" w:rsidR="00D2771F" w:rsidRPr="005C26ED" w:rsidRDefault="00D2771F" w:rsidP="00697DE2">
      <w:pPr>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B799762" w14:textId="77777777" w:rsidTr="00AE03E2">
        <w:trPr>
          <w:trHeight w:val="70"/>
          <w:tblHeader/>
        </w:trPr>
        <w:tc>
          <w:tcPr>
            <w:tcW w:w="9026" w:type="dxa"/>
          </w:tcPr>
          <w:p w14:paraId="1974EAD9" w14:textId="77777777" w:rsidR="0085090D" w:rsidRDefault="00D2771F" w:rsidP="0085090D">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85090D" w:rsidRPr="00D720EC">
              <w:rPr>
                <w:rFonts w:cs="Arial"/>
              </w:rPr>
              <w:t xml:space="preserve">973874 – Assistant Director </w:t>
            </w:r>
            <w:r w:rsidR="0085090D">
              <w:rPr>
                <w:rFonts w:cs="Arial"/>
              </w:rPr>
              <w:t xml:space="preserve">Strategic Recruitment and Payroll Operations </w:t>
            </w:r>
            <w:r w:rsidR="0085090D" w:rsidRPr="00D720EC">
              <w:rPr>
                <w:rFonts w:cs="Arial"/>
              </w:rPr>
              <w:t xml:space="preserve">– </w:t>
            </w:r>
            <w:r w:rsidR="0085090D">
              <w:rPr>
                <w:rFonts w:cs="Arial"/>
              </w:rPr>
              <w:t>MAY 2011</w:t>
            </w:r>
          </w:p>
          <w:p w14:paraId="356238A9" w14:textId="77777777" w:rsidR="0085090D" w:rsidRPr="00D720EC" w:rsidRDefault="0085090D" w:rsidP="0085090D">
            <w:pPr>
              <w:tabs>
                <w:tab w:val="left" w:pos="180"/>
              </w:tabs>
              <w:rPr>
                <w:rFonts w:cs="Arial"/>
              </w:rPr>
            </w:pPr>
            <w:r w:rsidRPr="00D720EC">
              <w:rPr>
                <w:rFonts w:cs="Arial"/>
              </w:rPr>
              <w:t xml:space="preserve">Request: </w:t>
            </w:r>
          </w:p>
          <w:p w14:paraId="1B112308" w14:textId="14247D38" w:rsidR="00D2771F" w:rsidRPr="00E15432" w:rsidRDefault="0085090D" w:rsidP="0085090D">
            <w:pPr>
              <w:tabs>
                <w:tab w:val="left" w:pos="180"/>
              </w:tabs>
              <w:rPr>
                <w:rFonts w:cs="Arial"/>
              </w:rPr>
            </w:pPr>
            <w:r w:rsidRPr="00D720EC">
              <w:rPr>
                <w:rFonts w:cs="Arial"/>
              </w:rPr>
              <w:t>Date Duties and Selection Criteria Last Reviewed:  05/</w:t>
            </w:r>
            <w:r>
              <w:rPr>
                <w:rFonts w:cs="Arial"/>
              </w:rPr>
              <w:t>11 DCT</w:t>
            </w:r>
          </w:p>
        </w:tc>
      </w:tr>
      <w:bookmarkEnd w:id="4"/>
    </w:tbl>
    <w:p w14:paraId="02B194A0"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8C89" w14:textId="77777777" w:rsidR="006E2F20" w:rsidRDefault="006E2F20" w:rsidP="0021185D">
      <w:pPr>
        <w:spacing w:after="0" w:line="240" w:lineRule="auto"/>
      </w:pPr>
      <w:r>
        <w:separator/>
      </w:r>
    </w:p>
    <w:p w14:paraId="1EA81FA4" w14:textId="77777777" w:rsidR="006E2F20" w:rsidRDefault="006E2F20"/>
  </w:endnote>
  <w:endnote w:type="continuationSeparator" w:id="0">
    <w:p w14:paraId="52C7A418" w14:textId="77777777" w:rsidR="006E2F20" w:rsidRDefault="006E2F20" w:rsidP="0021185D">
      <w:pPr>
        <w:spacing w:after="0" w:line="240" w:lineRule="auto"/>
      </w:pPr>
      <w:r>
        <w:continuationSeparator/>
      </w:r>
    </w:p>
    <w:p w14:paraId="4FEEFE8A" w14:textId="77777777" w:rsidR="006E2F20" w:rsidRDefault="006E2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03DA"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DEF8EB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84D5"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EB9B7EB" wp14:editId="75D193C6">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E894" w14:textId="77777777" w:rsidR="006E2F20" w:rsidRDefault="006E2F20" w:rsidP="0021185D">
      <w:pPr>
        <w:spacing w:after="0" w:line="240" w:lineRule="auto"/>
      </w:pPr>
      <w:r>
        <w:separator/>
      </w:r>
    </w:p>
    <w:p w14:paraId="3EA75E4A" w14:textId="77777777" w:rsidR="006E2F20" w:rsidRDefault="006E2F20"/>
  </w:footnote>
  <w:footnote w:type="continuationSeparator" w:id="0">
    <w:p w14:paraId="66886F03" w14:textId="77777777" w:rsidR="006E2F20" w:rsidRDefault="006E2F20" w:rsidP="0021185D">
      <w:pPr>
        <w:spacing w:after="0" w:line="240" w:lineRule="auto"/>
      </w:pPr>
      <w:r>
        <w:continuationSeparator/>
      </w:r>
    </w:p>
    <w:p w14:paraId="1B17B343" w14:textId="77777777" w:rsidR="006E2F20" w:rsidRDefault="006E2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1466" w14:textId="77777777" w:rsidR="007773F9" w:rsidRDefault="007773F9" w:rsidP="00A26A93">
    <w:pPr>
      <w:pStyle w:val="IntroParagraph"/>
      <w:spacing w:before="0" w:after="0"/>
      <w:rPr>
        <w:noProof/>
      </w:rPr>
    </w:pPr>
  </w:p>
  <w:p w14:paraId="1A1D8BB0" w14:textId="77777777" w:rsidR="007773F9" w:rsidRDefault="007773F9" w:rsidP="00A26A93">
    <w:pPr>
      <w:pStyle w:val="IntroParagraph"/>
      <w:spacing w:before="0" w:after="0"/>
      <w:rPr>
        <w:noProof/>
      </w:rPr>
    </w:pPr>
  </w:p>
  <w:p w14:paraId="7A84915C"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27AAF270" wp14:editId="6423712D">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C97FFD"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743D8F"/>
    <w:multiLevelType w:val="multilevel"/>
    <w:tmpl w:val="6986BA54"/>
    <w:lvl w:ilvl="0">
      <w:start w:val="1"/>
      <w:numFmt w:val="bullet"/>
      <w:pStyle w:val="BulletedListLevel1"/>
      <w:lvlText w:val=""/>
      <w:lvlJc w:val="left"/>
      <w:pPr>
        <w:tabs>
          <w:tab w:val="num" w:pos="927"/>
        </w:tabs>
        <w:ind w:left="927" w:hanging="567"/>
      </w:pPr>
      <w:rPr>
        <w:rFonts w:ascii="Symbol" w:hAnsi="Symbol" w:hint="default"/>
        <w:color w:val="auto"/>
      </w:rPr>
    </w:lvl>
    <w:lvl w:ilvl="1">
      <w:start w:val="1"/>
      <w:numFmt w:val="bullet"/>
      <w:lvlText w:val="o"/>
      <w:lvlJc w:val="left"/>
      <w:pPr>
        <w:tabs>
          <w:tab w:val="num" w:pos="1494"/>
        </w:tabs>
        <w:ind w:left="1494" w:hanging="567"/>
      </w:pPr>
      <w:rPr>
        <w:rFonts w:ascii="Courier New" w:hAnsi="Courier New" w:hint="default"/>
      </w:rPr>
    </w:lvl>
    <w:lvl w:ilvl="2">
      <w:start w:val="1"/>
      <w:numFmt w:val="bullet"/>
      <w:lvlText w:val=""/>
      <w:lvlJc w:val="left"/>
      <w:pPr>
        <w:tabs>
          <w:tab w:val="num" w:pos="2061"/>
        </w:tabs>
        <w:ind w:left="2061" w:hanging="567"/>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68C2673"/>
    <w:multiLevelType w:val="hybridMultilevel"/>
    <w:tmpl w:val="8474B5A2"/>
    <w:lvl w:ilvl="0" w:tplc="0C090001">
      <w:start w:val="1"/>
      <w:numFmt w:val="bullet"/>
      <w:lvlText w:val=""/>
      <w:lvlJc w:val="left"/>
      <w:pPr>
        <w:ind w:left="1149" w:hanging="360"/>
      </w:pPr>
      <w:rPr>
        <w:rFonts w:ascii="Symbol" w:hAnsi="Symbol" w:hint="default"/>
      </w:rPr>
    </w:lvl>
    <w:lvl w:ilvl="1" w:tplc="0C090003" w:tentative="1">
      <w:start w:val="1"/>
      <w:numFmt w:val="bullet"/>
      <w:lvlText w:val="o"/>
      <w:lvlJc w:val="left"/>
      <w:pPr>
        <w:ind w:left="1869" w:hanging="360"/>
      </w:pPr>
      <w:rPr>
        <w:rFonts w:ascii="Courier New" w:hAnsi="Courier New" w:cs="Courier New" w:hint="default"/>
      </w:rPr>
    </w:lvl>
    <w:lvl w:ilvl="2" w:tplc="0C090005" w:tentative="1">
      <w:start w:val="1"/>
      <w:numFmt w:val="bullet"/>
      <w:lvlText w:val=""/>
      <w:lvlJc w:val="left"/>
      <w:pPr>
        <w:ind w:left="2589" w:hanging="360"/>
      </w:pPr>
      <w:rPr>
        <w:rFonts w:ascii="Wingdings" w:hAnsi="Wingdings" w:hint="default"/>
      </w:rPr>
    </w:lvl>
    <w:lvl w:ilvl="3" w:tplc="0C090001" w:tentative="1">
      <w:start w:val="1"/>
      <w:numFmt w:val="bullet"/>
      <w:lvlText w:val=""/>
      <w:lvlJc w:val="left"/>
      <w:pPr>
        <w:ind w:left="3309" w:hanging="360"/>
      </w:pPr>
      <w:rPr>
        <w:rFonts w:ascii="Symbol" w:hAnsi="Symbol" w:hint="default"/>
      </w:rPr>
    </w:lvl>
    <w:lvl w:ilvl="4" w:tplc="0C090003" w:tentative="1">
      <w:start w:val="1"/>
      <w:numFmt w:val="bullet"/>
      <w:lvlText w:val="o"/>
      <w:lvlJc w:val="left"/>
      <w:pPr>
        <w:ind w:left="4029" w:hanging="360"/>
      </w:pPr>
      <w:rPr>
        <w:rFonts w:ascii="Courier New" w:hAnsi="Courier New" w:cs="Courier New" w:hint="default"/>
      </w:rPr>
    </w:lvl>
    <w:lvl w:ilvl="5" w:tplc="0C090005" w:tentative="1">
      <w:start w:val="1"/>
      <w:numFmt w:val="bullet"/>
      <w:lvlText w:val=""/>
      <w:lvlJc w:val="left"/>
      <w:pPr>
        <w:ind w:left="4749" w:hanging="360"/>
      </w:pPr>
      <w:rPr>
        <w:rFonts w:ascii="Wingdings" w:hAnsi="Wingdings" w:hint="default"/>
      </w:rPr>
    </w:lvl>
    <w:lvl w:ilvl="6" w:tplc="0C090001" w:tentative="1">
      <w:start w:val="1"/>
      <w:numFmt w:val="bullet"/>
      <w:lvlText w:val=""/>
      <w:lvlJc w:val="left"/>
      <w:pPr>
        <w:ind w:left="5469" w:hanging="360"/>
      </w:pPr>
      <w:rPr>
        <w:rFonts w:ascii="Symbol" w:hAnsi="Symbol" w:hint="default"/>
      </w:rPr>
    </w:lvl>
    <w:lvl w:ilvl="7" w:tplc="0C090003" w:tentative="1">
      <w:start w:val="1"/>
      <w:numFmt w:val="bullet"/>
      <w:lvlText w:val="o"/>
      <w:lvlJc w:val="left"/>
      <w:pPr>
        <w:ind w:left="6189" w:hanging="360"/>
      </w:pPr>
      <w:rPr>
        <w:rFonts w:ascii="Courier New" w:hAnsi="Courier New" w:cs="Courier New" w:hint="default"/>
      </w:rPr>
    </w:lvl>
    <w:lvl w:ilvl="8" w:tplc="0C090005" w:tentative="1">
      <w:start w:val="1"/>
      <w:numFmt w:val="bullet"/>
      <w:lvlText w:val=""/>
      <w:lvlJc w:val="left"/>
      <w:pPr>
        <w:ind w:left="6909" w:hanging="360"/>
      </w:pPr>
      <w:rPr>
        <w:rFonts w:ascii="Wingdings" w:hAnsi="Wingdings" w:hint="default"/>
      </w:r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FDF3569"/>
    <w:multiLevelType w:val="hybridMultilevel"/>
    <w:tmpl w:val="603C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0"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8"/>
  </w:num>
  <w:num w:numId="2" w16cid:durableId="1099250515">
    <w:abstractNumId w:val="20"/>
  </w:num>
  <w:num w:numId="3" w16cid:durableId="454718066">
    <w:abstractNumId w:val="23"/>
  </w:num>
  <w:num w:numId="4" w16cid:durableId="20790063">
    <w:abstractNumId w:val="7"/>
  </w:num>
  <w:num w:numId="5" w16cid:durableId="1314144844">
    <w:abstractNumId w:val="13"/>
  </w:num>
  <w:num w:numId="6" w16cid:durableId="1346397344">
    <w:abstractNumId w:val="15"/>
  </w:num>
  <w:num w:numId="7" w16cid:durableId="292291676">
    <w:abstractNumId w:val="37"/>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8"/>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40"/>
  </w:num>
  <w:num w:numId="19" w16cid:durableId="2132505946">
    <w:abstractNumId w:val="25"/>
  </w:num>
  <w:num w:numId="20" w16cid:durableId="1541359452">
    <w:abstractNumId w:val="27"/>
  </w:num>
  <w:num w:numId="21" w16cid:durableId="434911651">
    <w:abstractNumId w:val="31"/>
  </w:num>
  <w:num w:numId="22" w16cid:durableId="1089351798">
    <w:abstractNumId w:val="36"/>
  </w:num>
  <w:num w:numId="23" w16cid:durableId="1265193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9"/>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7"/>
  </w:num>
  <w:num w:numId="31" w16cid:durableId="1559319133">
    <w:abstractNumId w:val="33"/>
  </w:num>
  <w:num w:numId="32" w16cid:durableId="2147239570">
    <w:abstractNumId w:val="10"/>
  </w:num>
  <w:num w:numId="33" w16cid:durableId="457382409">
    <w:abstractNumId w:val="9"/>
  </w:num>
  <w:num w:numId="34" w16cid:durableId="972101933">
    <w:abstractNumId w:val="3"/>
  </w:num>
  <w:num w:numId="35" w16cid:durableId="1836727596">
    <w:abstractNumId w:val="18"/>
  </w:num>
  <w:num w:numId="36" w16cid:durableId="61105151">
    <w:abstractNumId w:val="26"/>
  </w:num>
  <w:num w:numId="37" w16cid:durableId="281304752">
    <w:abstractNumId w:val="32"/>
  </w:num>
  <w:num w:numId="38" w16cid:durableId="1222055391">
    <w:abstractNumId w:val="34"/>
  </w:num>
  <w:num w:numId="39" w16cid:durableId="1579637143">
    <w:abstractNumId w:val="35"/>
  </w:num>
  <w:num w:numId="40" w16cid:durableId="244069416">
    <w:abstractNumId w:val="8"/>
  </w:num>
  <w:num w:numId="41" w16cid:durableId="1476407703">
    <w:abstractNumId w:val="30"/>
  </w:num>
  <w:num w:numId="42" w16cid:durableId="76981810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2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424B"/>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2F20"/>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090D"/>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E2F1"/>
  <w15:chartTrackingRefBased/>
  <w15:docId w15:val="{6983A519-65C8-42FB-9924-AACF9F6B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Default">
    <w:name w:val="Default"/>
    <w:rsid w:val="006E2F20"/>
    <w:pPr>
      <w:autoSpaceDE w:val="0"/>
      <w:autoSpaceDN w:val="0"/>
      <w:adjustRightInd w:val="0"/>
      <w:spacing w:after="0" w:line="240" w:lineRule="auto"/>
    </w:pPr>
    <w:rPr>
      <w:rFonts w:ascii="Tahoma" w:eastAsia="Times New Roman" w:hAnsi="Tahoma" w:cs="Tahoma"/>
      <w:color w:val="000000"/>
      <w:kern w:val="0"/>
      <w:sz w:val="24"/>
      <w:szCs w:val="24"/>
      <w:lang w:eastAsia="en-AU"/>
      <w14:ligatures w14:val="none"/>
    </w:rPr>
  </w:style>
  <w:style w:type="paragraph" w:customStyle="1" w:styleId="BulletedListLevel1">
    <w:name w:val="Bulleted List Level 1"/>
    <w:semiHidden/>
    <w:rsid w:val="006E2F20"/>
    <w:pPr>
      <w:keepLines/>
      <w:numPr>
        <w:numId w:val="40"/>
      </w:numPr>
      <w:tabs>
        <w:tab w:val="left" w:pos="1134"/>
      </w:tabs>
      <w:spacing w:after="140" w:line="300" w:lineRule="atLeast"/>
      <w:jc w:val="both"/>
    </w:pPr>
    <w:rPr>
      <w:rFonts w:ascii="Gill Sans MT" w:eastAsia="Times New Roman" w:hAnsi="Gill Sans MT"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B323BF8C241B5A189668042C4EBDF"/>
        <w:category>
          <w:name w:val="General"/>
          <w:gallery w:val="placeholder"/>
        </w:category>
        <w:types>
          <w:type w:val="bbPlcHdr"/>
        </w:types>
        <w:behaviors>
          <w:behavior w:val="content"/>
        </w:behaviors>
        <w:guid w:val="{5B97D353-6110-4F28-91C9-E13957AFFD78}"/>
      </w:docPartPr>
      <w:docPartBody>
        <w:p w:rsidR="00625A8C" w:rsidRDefault="00625A8C">
          <w:pPr>
            <w:pStyle w:val="9F9B323BF8C241B5A189668042C4EBDF"/>
          </w:pPr>
          <w:r w:rsidRPr="00370966">
            <w:rPr>
              <w:rStyle w:val="PlaceholderText"/>
            </w:rPr>
            <w:t>[Title]</w:t>
          </w:r>
        </w:p>
      </w:docPartBody>
    </w:docPart>
    <w:docPart>
      <w:docPartPr>
        <w:name w:val="7394996D675A4724AEEA6DABE007BE20"/>
        <w:category>
          <w:name w:val="General"/>
          <w:gallery w:val="placeholder"/>
        </w:category>
        <w:types>
          <w:type w:val="bbPlcHdr"/>
        </w:types>
        <w:behaviors>
          <w:behavior w:val="content"/>
        </w:behaviors>
        <w:guid w:val="{D225E187-01D3-4AD8-87D2-2A2E65F2A8BB}"/>
      </w:docPartPr>
      <w:docPartBody>
        <w:p w:rsidR="00625A8C" w:rsidRDefault="00625A8C">
          <w:pPr>
            <w:pStyle w:val="7394996D675A4724AEEA6DABE007BE20"/>
          </w:pPr>
          <w:r w:rsidRPr="00A11DEF">
            <w:rPr>
              <w:rStyle w:val="PlaceholderText"/>
            </w:rPr>
            <w:t>Choose an item.</w:t>
          </w:r>
        </w:p>
      </w:docPartBody>
    </w:docPart>
    <w:docPart>
      <w:docPartPr>
        <w:name w:val="E30EBDD2C996449DB9DD020482B1BC87"/>
        <w:category>
          <w:name w:val="General"/>
          <w:gallery w:val="placeholder"/>
        </w:category>
        <w:types>
          <w:type w:val="bbPlcHdr"/>
        </w:types>
        <w:behaviors>
          <w:behavior w:val="content"/>
        </w:behaviors>
        <w:guid w:val="{0B7E78BB-4237-4CEB-A0BA-5FF4DFFB1AAB}"/>
      </w:docPartPr>
      <w:docPartBody>
        <w:p w:rsidR="00625A8C" w:rsidRDefault="00625A8C">
          <w:pPr>
            <w:pStyle w:val="E30EBDD2C996449DB9DD020482B1BC87"/>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1B7BF8C5A1F497CAAA0221F7800751A"/>
        <w:category>
          <w:name w:val="General"/>
          <w:gallery w:val="placeholder"/>
        </w:category>
        <w:types>
          <w:type w:val="bbPlcHdr"/>
        </w:types>
        <w:behaviors>
          <w:behavior w:val="content"/>
        </w:behaviors>
        <w:guid w:val="{84654F11-4260-48B2-AD9F-83DAAFC994ED}"/>
      </w:docPartPr>
      <w:docPartBody>
        <w:p w:rsidR="00625A8C" w:rsidRDefault="00625A8C">
          <w:pPr>
            <w:pStyle w:val="51B7BF8C5A1F497CAAA0221F7800751A"/>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8C"/>
    <w:rsid w:val="001E424B"/>
    <w:rsid w:val="00625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9B323BF8C241B5A189668042C4EBDF">
    <w:name w:val="9F9B323BF8C241B5A189668042C4EBDF"/>
  </w:style>
  <w:style w:type="paragraph" w:customStyle="1" w:styleId="7394996D675A4724AEEA6DABE007BE20">
    <w:name w:val="7394996D675A4724AEEA6DABE007BE20"/>
  </w:style>
  <w:style w:type="paragraph" w:customStyle="1" w:styleId="E30EBDD2C996449DB9DD020482B1BC87">
    <w:name w:val="E30EBDD2C996449DB9DD020482B1BC87"/>
  </w:style>
  <w:style w:type="paragraph" w:customStyle="1" w:styleId="51B7BF8C5A1F497CAAA0221F7800751A">
    <w:name w:val="51B7BF8C5A1F497CAAA0221F7800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48</TotalTime>
  <Pages>8</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17259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Officer</dc:title>
  <dc:subject/>
  <dc:creator>Baker, Chloe</dc:creator>
  <cp:keywords/>
  <dc:description/>
  <cp:lastModifiedBy>Jenkinson, Chloe</cp:lastModifiedBy>
  <cp:revision>1</cp:revision>
  <cp:lastPrinted>2023-08-01T07:12:00Z</cp:lastPrinted>
  <dcterms:created xsi:type="dcterms:W3CDTF">2025-09-19T01:30:00Z</dcterms:created>
  <dcterms:modified xsi:type="dcterms:W3CDTF">2025-09-19T02:20:00Z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