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C0B7" w14:textId="11094BF4"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rFonts w:ascii="Arial" w:hAnsi="Arial" w:cs="Arial"/>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63BDF161" w:rsidR="00644F9F" w:rsidRPr="00B56AD8" w:rsidRDefault="00592A8B" w:rsidP="00644F9F">
          <w:pPr>
            <w:pStyle w:val="Title"/>
            <w:rPr>
              <w:rFonts w:ascii="Arial" w:hAnsi="Arial" w:cs="Arial"/>
              <w:color w:val="011947"/>
            </w:rPr>
          </w:pPr>
          <w:r w:rsidRPr="00B56AD8">
            <w:rPr>
              <w:rFonts w:ascii="Arial" w:hAnsi="Arial" w:cs="Arial"/>
              <w:color w:val="011947"/>
              <w:sz w:val="48"/>
              <w:szCs w:val="48"/>
            </w:rPr>
            <w:t>Principal</w:t>
          </w:r>
        </w:p>
      </w:sdtContent>
    </w:sdt>
    <w:tbl>
      <w:tblPr>
        <w:tblStyle w:val="GridTable41"/>
        <w:tblW w:w="0" w:type="auto"/>
        <w:tblLook w:val="04A0" w:firstRow="1" w:lastRow="0" w:firstColumn="1" w:lastColumn="0" w:noHBand="0" w:noVBand="1"/>
      </w:tblPr>
      <w:tblGrid>
        <w:gridCol w:w="3114"/>
        <w:gridCol w:w="1672"/>
        <w:gridCol w:w="4786"/>
      </w:tblGrid>
      <w:tr w:rsidR="006F6682" w:rsidRPr="00B56AD8"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B56AD8" w:rsidRDefault="006F6682" w:rsidP="00232460">
            <w:pPr>
              <w:rPr>
                <w:rFonts w:ascii="Arial" w:hAnsi="Arial" w:cs="Arial"/>
                <w:bCs w:val="0"/>
                <w:sz w:val="28"/>
                <w:szCs w:val="28"/>
              </w:rPr>
            </w:pPr>
            <w:r w:rsidRPr="00B56AD8">
              <w:rPr>
                <w:rFonts w:ascii="Arial" w:hAnsi="Arial" w:cs="Arial"/>
                <w:sz w:val="28"/>
                <w:szCs w:val="28"/>
              </w:rPr>
              <w:t xml:space="preserve">STATEMENT OF DUTIES </w:t>
            </w:r>
          </w:p>
        </w:tc>
        <w:tc>
          <w:tcPr>
            <w:tcW w:w="4786" w:type="dxa"/>
            <w:shd w:val="clear" w:color="auto" w:fill="011947"/>
          </w:tcPr>
          <w:p w14:paraId="0210C017" w14:textId="793BD72B" w:rsidR="006F6682" w:rsidRPr="00B56AD8" w:rsidRDefault="00C95906" w:rsidP="00815A91">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56AD8">
              <w:rPr>
                <w:rFonts w:ascii="Arial" w:hAnsi="Arial" w:cs="Arial"/>
                <w:sz w:val="28"/>
                <w:szCs w:val="28"/>
              </w:rPr>
              <w:t>M</w:t>
            </w:r>
            <w:r w:rsidR="00EE4FD3" w:rsidRPr="00B56AD8">
              <w:rPr>
                <w:rFonts w:ascii="Arial" w:hAnsi="Arial" w:cs="Arial"/>
                <w:sz w:val="28"/>
                <w:szCs w:val="28"/>
              </w:rPr>
              <w:t>AY</w:t>
            </w:r>
            <w:r w:rsidRPr="00B56AD8">
              <w:rPr>
                <w:rFonts w:ascii="Arial" w:hAnsi="Arial" w:cs="Arial"/>
                <w:sz w:val="28"/>
                <w:szCs w:val="28"/>
              </w:rPr>
              <w:t xml:space="preserve"> 2024</w:t>
            </w:r>
          </w:p>
        </w:tc>
      </w:tr>
      <w:tr w:rsidR="007D64D9" w:rsidRPr="00B56AD8"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7D64D9" w:rsidRPr="00B56AD8" w:rsidRDefault="007D64D9" w:rsidP="007D64D9">
            <w:pPr>
              <w:rPr>
                <w:rFonts w:ascii="Arial" w:hAnsi="Arial" w:cs="Arial"/>
                <w:sz w:val="24"/>
                <w:szCs w:val="24"/>
              </w:rPr>
            </w:pPr>
            <w:r w:rsidRPr="00B56AD8">
              <w:rPr>
                <w:rFonts w:ascii="Arial" w:hAnsi="Arial" w:cs="Arial"/>
                <w:sz w:val="24"/>
                <w:szCs w:val="24"/>
              </w:rPr>
              <w:t>Number</w:t>
            </w:r>
          </w:p>
        </w:tc>
        <w:tc>
          <w:tcPr>
            <w:tcW w:w="6458" w:type="dxa"/>
            <w:gridSpan w:val="2"/>
            <w:vAlign w:val="top"/>
          </w:tcPr>
          <w:p w14:paraId="40C273E1" w14:textId="31F3A3F3" w:rsidR="007D64D9" w:rsidRPr="00B56AD8" w:rsidRDefault="00153253" w:rsidP="007D64D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6AD8">
              <w:rPr>
                <w:rFonts w:ascii="Arial" w:hAnsi="Arial" w:cs="Arial"/>
                <w:bCs/>
                <w:sz w:val="24"/>
                <w:szCs w:val="24"/>
              </w:rPr>
              <w:t>Generic</w:t>
            </w:r>
          </w:p>
        </w:tc>
      </w:tr>
      <w:tr w:rsidR="007D64D9" w:rsidRPr="00B56AD8"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7D64D9" w:rsidRPr="00B56AD8" w:rsidRDefault="007D64D9" w:rsidP="007D64D9">
            <w:pPr>
              <w:rPr>
                <w:rFonts w:ascii="Arial" w:hAnsi="Arial" w:cs="Arial"/>
                <w:b w:val="0"/>
                <w:sz w:val="24"/>
                <w:szCs w:val="24"/>
              </w:rPr>
            </w:pPr>
            <w:r w:rsidRPr="00B56AD8">
              <w:rPr>
                <w:rFonts w:ascii="Arial" w:hAnsi="Arial" w:cs="Arial"/>
                <w:sz w:val="24"/>
                <w:szCs w:val="24"/>
              </w:rPr>
              <w:t>Portfolio</w:t>
            </w:r>
          </w:p>
        </w:tc>
        <w:tc>
          <w:tcPr>
            <w:tcW w:w="6458" w:type="dxa"/>
            <w:gridSpan w:val="2"/>
            <w:vAlign w:val="top"/>
          </w:tcPr>
          <w:p w14:paraId="6C07E303" w14:textId="21C2D0E5" w:rsidR="007D64D9" w:rsidRPr="00B56AD8" w:rsidRDefault="004226FB" w:rsidP="007D64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56AD8">
              <w:rPr>
                <w:rFonts w:ascii="Arial" w:eastAsia="Times New Roman" w:hAnsi="Arial" w:cs="Arial"/>
                <w:bCs/>
                <w:sz w:val="24"/>
                <w:szCs w:val="24"/>
              </w:rPr>
              <w:t>Schools and Early Years</w:t>
            </w:r>
          </w:p>
        </w:tc>
      </w:tr>
      <w:tr w:rsidR="007D64D9" w:rsidRPr="00B56AD8"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7D64D9" w:rsidRPr="00B56AD8" w:rsidRDefault="007D64D9" w:rsidP="007D64D9">
            <w:pPr>
              <w:rPr>
                <w:rFonts w:ascii="Arial" w:hAnsi="Arial" w:cs="Arial"/>
                <w:b w:val="0"/>
                <w:sz w:val="24"/>
                <w:szCs w:val="24"/>
              </w:rPr>
            </w:pPr>
            <w:r w:rsidRPr="00B56AD8">
              <w:rPr>
                <w:rFonts w:ascii="Arial" w:hAnsi="Arial" w:cs="Arial"/>
                <w:sz w:val="24"/>
                <w:szCs w:val="24"/>
              </w:rPr>
              <w:t>Branch</w:t>
            </w:r>
          </w:p>
        </w:tc>
        <w:tc>
          <w:tcPr>
            <w:tcW w:w="6458" w:type="dxa"/>
            <w:gridSpan w:val="2"/>
            <w:vAlign w:val="top"/>
          </w:tcPr>
          <w:p w14:paraId="40F61C2C" w14:textId="2B04BB78" w:rsidR="007D64D9" w:rsidRPr="00B56AD8" w:rsidRDefault="00153253" w:rsidP="007D64D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56AD8">
              <w:rPr>
                <w:rFonts w:ascii="Arial" w:eastAsia="Times New Roman" w:hAnsi="Arial" w:cs="Arial"/>
                <w:bCs/>
                <w:sz w:val="24"/>
                <w:szCs w:val="24"/>
              </w:rPr>
              <w:t>Specified Learning Service</w:t>
            </w:r>
          </w:p>
        </w:tc>
      </w:tr>
      <w:tr w:rsidR="007D64D9" w:rsidRPr="00B56AD8"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7D64D9" w:rsidRPr="00B56AD8" w:rsidRDefault="007D64D9" w:rsidP="007D64D9">
            <w:pPr>
              <w:rPr>
                <w:rFonts w:ascii="Arial" w:hAnsi="Arial" w:cs="Arial"/>
                <w:sz w:val="24"/>
                <w:szCs w:val="24"/>
              </w:rPr>
            </w:pPr>
            <w:r w:rsidRPr="00B56AD8">
              <w:rPr>
                <w:rFonts w:ascii="Arial" w:hAnsi="Arial" w:cs="Arial"/>
                <w:sz w:val="24"/>
                <w:szCs w:val="24"/>
              </w:rPr>
              <w:t>Section</w:t>
            </w:r>
          </w:p>
        </w:tc>
        <w:tc>
          <w:tcPr>
            <w:tcW w:w="6458" w:type="dxa"/>
            <w:gridSpan w:val="2"/>
            <w:vAlign w:val="top"/>
          </w:tcPr>
          <w:p w14:paraId="561EA7C6" w14:textId="65FA9423" w:rsidR="007D64D9" w:rsidRPr="00B56AD8" w:rsidRDefault="00153253" w:rsidP="007D64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56AD8">
              <w:rPr>
                <w:rFonts w:ascii="Arial" w:eastAsia="Times New Roman" w:hAnsi="Arial" w:cs="Arial"/>
                <w:bCs/>
                <w:sz w:val="24"/>
                <w:szCs w:val="24"/>
              </w:rPr>
              <w:t>Specified School</w:t>
            </w:r>
          </w:p>
        </w:tc>
      </w:tr>
      <w:tr w:rsidR="007D64D9" w:rsidRPr="00B56AD8"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7D64D9" w:rsidRPr="00B56AD8" w:rsidRDefault="007D64D9" w:rsidP="007D64D9">
            <w:pPr>
              <w:rPr>
                <w:rFonts w:ascii="Arial" w:hAnsi="Arial" w:cs="Arial"/>
                <w:sz w:val="24"/>
                <w:szCs w:val="24"/>
              </w:rPr>
            </w:pPr>
            <w:r w:rsidRPr="00B56AD8">
              <w:rPr>
                <w:rFonts w:ascii="Arial" w:hAnsi="Arial" w:cs="Arial"/>
                <w:sz w:val="24"/>
                <w:szCs w:val="24"/>
              </w:rPr>
              <w:t>Sub-Section/Unit/School</w:t>
            </w:r>
          </w:p>
        </w:tc>
        <w:tc>
          <w:tcPr>
            <w:tcW w:w="6458" w:type="dxa"/>
            <w:gridSpan w:val="2"/>
            <w:vAlign w:val="top"/>
          </w:tcPr>
          <w:p w14:paraId="0AF51446" w14:textId="5440040F" w:rsidR="007D64D9" w:rsidRPr="00B56AD8" w:rsidRDefault="00153253" w:rsidP="007D64D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56AD8">
              <w:rPr>
                <w:rFonts w:ascii="Arial" w:hAnsi="Arial" w:cs="Arial"/>
                <w:bCs/>
              </w:rPr>
              <w:t>N/A</w:t>
            </w:r>
          </w:p>
        </w:tc>
      </w:tr>
      <w:tr w:rsidR="00232460" w:rsidRPr="00B56AD8"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232460" w:rsidRPr="00B56AD8" w:rsidRDefault="00232460" w:rsidP="00232460">
            <w:pPr>
              <w:rPr>
                <w:rFonts w:ascii="Arial" w:hAnsi="Arial" w:cs="Arial"/>
                <w:sz w:val="24"/>
                <w:szCs w:val="24"/>
              </w:rPr>
            </w:pPr>
            <w:r w:rsidRPr="00B56AD8">
              <w:rPr>
                <w:rFonts w:ascii="Arial" w:hAnsi="Arial" w:cs="Arial"/>
                <w:sz w:val="24"/>
                <w:szCs w:val="24"/>
              </w:rPr>
              <w:t>Supervisor</w:t>
            </w:r>
          </w:p>
        </w:tc>
        <w:tc>
          <w:tcPr>
            <w:tcW w:w="6458" w:type="dxa"/>
            <w:gridSpan w:val="2"/>
            <w:vAlign w:val="top"/>
          </w:tcPr>
          <w:p w14:paraId="2F473510" w14:textId="631F33B9" w:rsidR="00232460" w:rsidRPr="00B56AD8" w:rsidRDefault="003B4A1A" w:rsidP="002324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56AD8">
              <w:rPr>
                <w:rFonts w:ascii="Arial" w:eastAsia="Times New Roman" w:hAnsi="Arial" w:cs="Arial"/>
                <w:bCs/>
                <w:sz w:val="24"/>
                <w:szCs w:val="24"/>
              </w:rPr>
              <w:t>Executive Lead</w:t>
            </w:r>
          </w:p>
        </w:tc>
      </w:tr>
      <w:tr w:rsidR="005F3B0F" w:rsidRPr="00B56AD8"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5F3B0F" w:rsidRPr="00B56AD8" w:rsidRDefault="005F3B0F" w:rsidP="005F3B0F">
            <w:pPr>
              <w:rPr>
                <w:rFonts w:ascii="Arial" w:hAnsi="Arial" w:cs="Arial"/>
                <w:sz w:val="24"/>
                <w:szCs w:val="24"/>
              </w:rPr>
            </w:pPr>
            <w:r w:rsidRPr="00B56AD8">
              <w:rPr>
                <w:rFonts w:ascii="Arial" w:hAnsi="Arial" w:cs="Arial"/>
                <w:sz w:val="24"/>
                <w:szCs w:val="24"/>
              </w:rPr>
              <w:t>Award/Agreement</w:t>
            </w:r>
          </w:p>
        </w:tc>
        <w:tc>
          <w:tcPr>
            <w:tcW w:w="6458" w:type="dxa"/>
            <w:gridSpan w:val="2"/>
            <w:vAlign w:val="top"/>
          </w:tcPr>
          <w:p w14:paraId="75C67714" w14:textId="7F85BEC3" w:rsidR="008835A5" w:rsidRPr="00B56AD8" w:rsidRDefault="00EE4FD3" w:rsidP="005F3B0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56AD8">
              <w:rPr>
                <w:rFonts w:ascii="Arial" w:hAnsi="Arial" w:cs="Arial"/>
                <w:sz w:val="24"/>
                <w:szCs w:val="24"/>
              </w:rPr>
              <w:t>Principals Agreement</w:t>
            </w:r>
            <w:r w:rsidR="008835A5" w:rsidRPr="00B56AD8">
              <w:rPr>
                <w:rFonts w:ascii="Arial" w:hAnsi="Arial" w:cs="Arial"/>
                <w:sz w:val="24"/>
                <w:szCs w:val="24"/>
              </w:rPr>
              <w:t xml:space="preserve"> 2023</w:t>
            </w:r>
          </w:p>
          <w:p w14:paraId="3E694C01" w14:textId="3AD69893" w:rsidR="00EE4FD3" w:rsidRPr="00B56AD8" w:rsidRDefault="00DC5932" w:rsidP="005F3B0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4"/>
                <w:szCs w:val="24"/>
              </w:rPr>
            </w:pPr>
            <w:r w:rsidRPr="00B56AD8">
              <w:rPr>
                <w:rFonts w:ascii="Arial" w:eastAsia="Times New Roman" w:hAnsi="Arial" w:cs="Arial"/>
                <w:bCs/>
                <w:sz w:val="24"/>
                <w:szCs w:val="24"/>
              </w:rPr>
              <w:t>Teaching Service (Tasmanian Public Sector) Award</w:t>
            </w:r>
          </w:p>
        </w:tc>
      </w:tr>
      <w:tr w:rsidR="005F3B0F" w:rsidRPr="00B56AD8"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5F3B0F" w:rsidRPr="00B56AD8" w:rsidRDefault="005F3B0F" w:rsidP="005F3B0F">
            <w:pPr>
              <w:rPr>
                <w:rFonts w:ascii="Arial" w:hAnsi="Arial" w:cs="Arial"/>
                <w:b w:val="0"/>
                <w:sz w:val="24"/>
                <w:szCs w:val="24"/>
              </w:rPr>
            </w:pPr>
            <w:r w:rsidRPr="00B56AD8">
              <w:rPr>
                <w:rFonts w:ascii="Arial" w:hAnsi="Arial" w:cs="Arial"/>
                <w:sz w:val="24"/>
                <w:szCs w:val="24"/>
              </w:rPr>
              <w:t>Classification</w:t>
            </w:r>
          </w:p>
        </w:tc>
        <w:tc>
          <w:tcPr>
            <w:tcW w:w="6458" w:type="dxa"/>
            <w:gridSpan w:val="2"/>
            <w:vAlign w:val="top"/>
          </w:tcPr>
          <w:p w14:paraId="40BA5B5D" w14:textId="04A7BB68" w:rsidR="005F3B0F" w:rsidRPr="00B56AD8" w:rsidRDefault="00C57F0E" w:rsidP="005F3B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56AD8">
              <w:rPr>
                <w:rFonts w:ascii="Arial" w:eastAsia="Times New Roman" w:hAnsi="Arial" w:cs="Arial"/>
                <w:bCs/>
                <w:sz w:val="24"/>
                <w:szCs w:val="24"/>
              </w:rPr>
              <w:t>Band 3A Level 1 to 6</w:t>
            </w:r>
          </w:p>
        </w:tc>
      </w:tr>
      <w:tr w:rsidR="00232460" w:rsidRPr="00B56AD8"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232460" w:rsidRPr="00B56AD8" w:rsidRDefault="00232460" w:rsidP="00232460">
            <w:pPr>
              <w:rPr>
                <w:rFonts w:ascii="Arial" w:hAnsi="Arial" w:cs="Arial"/>
                <w:b w:val="0"/>
                <w:sz w:val="24"/>
                <w:szCs w:val="24"/>
              </w:rPr>
            </w:pPr>
            <w:r w:rsidRPr="00B56AD8">
              <w:rPr>
                <w:rFonts w:ascii="Arial" w:hAnsi="Arial" w:cs="Arial"/>
                <w:sz w:val="24"/>
                <w:szCs w:val="24"/>
              </w:rPr>
              <w:t>Employment Conditions</w:t>
            </w:r>
          </w:p>
        </w:tc>
        <w:tc>
          <w:tcPr>
            <w:tcW w:w="6458" w:type="dxa"/>
            <w:gridSpan w:val="2"/>
            <w:vAlign w:val="top"/>
          </w:tcPr>
          <w:p w14:paraId="7B5B5D21" w14:textId="212F1D6A" w:rsidR="00331C27" w:rsidRPr="00B56AD8" w:rsidRDefault="00331C27" w:rsidP="00331C27">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B56AD8">
              <w:rPr>
                <w:rFonts w:ascii="Arial" w:hAnsi="Arial" w:cs="Arial"/>
                <w:bCs/>
                <w:sz w:val="24"/>
                <w:szCs w:val="24"/>
              </w:rPr>
              <w:t xml:space="preserve">Permanent or fixed-term, part-time or full time, up to 70 hours per fortnight, 52 weeks per year including </w:t>
            </w:r>
            <w:r w:rsidR="00927F9C" w:rsidRPr="00B56AD8">
              <w:rPr>
                <w:rFonts w:ascii="Arial" w:hAnsi="Arial" w:cs="Arial"/>
                <w:bCs/>
                <w:sz w:val="24"/>
                <w:szCs w:val="24"/>
              </w:rPr>
              <w:t xml:space="preserve">approximately </w:t>
            </w:r>
            <w:r w:rsidRPr="00B56AD8">
              <w:rPr>
                <w:rFonts w:ascii="Arial" w:hAnsi="Arial" w:cs="Arial"/>
                <w:bCs/>
                <w:sz w:val="24"/>
                <w:szCs w:val="24"/>
              </w:rPr>
              <w:t>11</w:t>
            </w:r>
            <w:r w:rsidR="00193981" w:rsidRPr="00B56AD8">
              <w:rPr>
                <w:rFonts w:ascii="Arial" w:hAnsi="Arial" w:cs="Arial"/>
                <w:bCs/>
                <w:sz w:val="24"/>
                <w:szCs w:val="24"/>
              </w:rPr>
              <w:t xml:space="preserve"> </w:t>
            </w:r>
            <w:r w:rsidRPr="00B56AD8">
              <w:rPr>
                <w:rFonts w:ascii="Arial" w:hAnsi="Arial" w:cs="Arial"/>
                <w:bCs/>
                <w:sz w:val="24"/>
                <w:szCs w:val="24"/>
              </w:rPr>
              <w:t>weeks annual leave</w:t>
            </w:r>
            <w:r w:rsidR="00927F9C" w:rsidRPr="00B56AD8">
              <w:rPr>
                <w:rFonts w:ascii="Arial" w:hAnsi="Arial" w:cs="Arial"/>
                <w:bCs/>
                <w:sz w:val="24"/>
                <w:szCs w:val="24"/>
              </w:rPr>
              <w:t xml:space="preserve"> taken during school holiday periods</w:t>
            </w:r>
            <w:r w:rsidRPr="00B56AD8">
              <w:rPr>
                <w:rFonts w:ascii="Arial" w:hAnsi="Arial" w:cs="Arial"/>
                <w:bCs/>
                <w:sz w:val="24"/>
                <w:szCs w:val="24"/>
              </w:rPr>
              <w:t>.</w:t>
            </w:r>
          </w:p>
          <w:p w14:paraId="7AD6A1BD" w14:textId="62A6CABA" w:rsidR="005F3B0F" w:rsidRPr="00B56AD8" w:rsidRDefault="00331C27" w:rsidP="00331C2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56AD8">
              <w:rPr>
                <w:rFonts w:ascii="Arial" w:hAnsi="Arial" w:cs="Arial"/>
                <w:bCs/>
                <w:sz w:val="24"/>
                <w:szCs w:val="24"/>
              </w:rPr>
              <w:t xml:space="preserve">A </w:t>
            </w:r>
            <w:proofErr w:type="gramStart"/>
            <w:r w:rsidRPr="00B56AD8">
              <w:rPr>
                <w:rFonts w:ascii="Arial" w:hAnsi="Arial" w:cs="Arial"/>
                <w:bCs/>
                <w:sz w:val="24"/>
                <w:szCs w:val="24"/>
              </w:rPr>
              <w:t>school based</w:t>
            </w:r>
            <w:proofErr w:type="gramEnd"/>
            <w:r w:rsidRPr="00B56AD8">
              <w:rPr>
                <w:rFonts w:ascii="Arial" w:hAnsi="Arial" w:cs="Arial"/>
                <w:bCs/>
                <w:sz w:val="24"/>
                <w:szCs w:val="24"/>
              </w:rPr>
              <w:t xml:space="preserve"> </w:t>
            </w:r>
            <w:proofErr w:type="gramStart"/>
            <w:r w:rsidRPr="00B56AD8">
              <w:rPr>
                <w:rFonts w:ascii="Arial" w:hAnsi="Arial" w:cs="Arial"/>
                <w:bCs/>
                <w:sz w:val="24"/>
                <w:szCs w:val="24"/>
              </w:rPr>
              <w:t>Principal</w:t>
            </w:r>
            <w:proofErr w:type="gramEnd"/>
            <w:r w:rsidRPr="00B56AD8">
              <w:rPr>
                <w:rFonts w:ascii="Arial" w:hAnsi="Arial" w:cs="Arial"/>
                <w:bCs/>
                <w:sz w:val="24"/>
                <w:szCs w:val="24"/>
              </w:rPr>
              <w:t xml:space="preserve"> is assigned duties</w:t>
            </w:r>
            <w:r w:rsidR="00927F9C" w:rsidRPr="00B56AD8">
              <w:rPr>
                <w:rFonts w:ascii="Arial" w:hAnsi="Arial" w:cs="Arial"/>
                <w:bCs/>
                <w:sz w:val="24"/>
                <w:szCs w:val="24"/>
              </w:rPr>
              <w:t xml:space="preserve"> at a particular school and</w:t>
            </w:r>
            <w:r w:rsidRPr="00B56AD8">
              <w:rPr>
                <w:rFonts w:ascii="Arial" w:hAnsi="Arial" w:cs="Arial"/>
                <w:bCs/>
                <w:sz w:val="24"/>
                <w:szCs w:val="24"/>
              </w:rPr>
              <w:t xml:space="preserve"> may be assigned duties at an alternative school </w:t>
            </w:r>
            <w:r w:rsidR="00927F9C" w:rsidRPr="00B56AD8">
              <w:rPr>
                <w:rFonts w:ascii="Arial" w:hAnsi="Arial" w:cs="Arial"/>
                <w:bCs/>
                <w:sz w:val="24"/>
                <w:szCs w:val="24"/>
              </w:rPr>
              <w:t>based on</w:t>
            </w:r>
            <w:r w:rsidRPr="00B56AD8">
              <w:rPr>
                <w:rFonts w:ascii="Arial" w:hAnsi="Arial" w:cs="Arial"/>
                <w:bCs/>
                <w:sz w:val="24"/>
                <w:szCs w:val="24"/>
              </w:rPr>
              <w:t xml:space="preserve"> their assigned (substantive) classification.</w:t>
            </w:r>
          </w:p>
        </w:tc>
      </w:tr>
      <w:tr w:rsidR="00232460" w:rsidRPr="00B56AD8"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232460" w:rsidRPr="00B56AD8" w:rsidRDefault="00232460" w:rsidP="00232460">
            <w:pPr>
              <w:rPr>
                <w:rFonts w:ascii="Arial" w:hAnsi="Arial" w:cs="Arial"/>
                <w:b w:val="0"/>
                <w:sz w:val="24"/>
                <w:szCs w:val="24"/>
              </w:rPr>
            </w:pPr>
            <w:r w:rsidRPr="00B56AD8">
              <w:rPr>
                <w:rFonts w:ascii="Arial" w:hAnsi="Arial" w:cs="Arial"/>
                <w:sz w:val="24"/>
                <w:szCs w:val="24"/>
              </w:rPr>
              <w:t>Location</w:t>
            </w:r>
          </w:p>
        </w:tc>
        <w:tc>
          <w:tcPr>
            <w:tcW w:w="6458" w:type="dxa"/>
            <w:gridSpan w:val="2"/>
            <w:vAlign w:val="top"/>
          </w:tcPr>
          <w:p w14:paraId="032570CD" w14:textId="33BC34F6" w:rsidR="00232460" w:rsidRPr="00B56AD8" w:rsidRDefault="008D3057" w:rsidP="002324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56AD8">
              <w:rPr>
                <w:rFonts w:ascii="Arial" w:eastAsia="Times New Roman" w:hAnsi="Arial" w:cs="Arial"/>
                <w:sz w:val="24"/>
                <w:szCs w:val="24"/>
              </w:rPr>
              <w:t>S</w:t>
            </w:r>
            <w:r w:rsidR="0076421B" w:rsidRPr="00B56AD8">
              <w:rPr>
                <w:rFonts w:ascii="Arial" w:eastAsia="Times New Roman" w:hAnsi="Arial" w:cs="Arial"/>
                <w:sz w:val="24"/>
                <w:szCs w:val="24"/>
              </w:rPr>
              <w:t xml:space="preserve">pecified school </w:t>
            </w:r>
          </w:p>
        </w:tc>
      </w:tr>
    </w:tbl>
    <w:p w14:paraId="45FC4D4C" w14:textId="60A5CF8D" w:rsidR="00360CDB" w:rsidRPr="00B56AD8" w:rsidRDefault="005F3B0F" w:rsidP="00360CDB">
      <w:pPr>
        <w:pStyle w:val="Heading2"/>
        <w:rPr>
          <w:rFonts w:ascii="Arial" w:hAnsi="Arial" w:cs="Arial"/>
          <w:color w:val="011947"/>
        </w:rPr>
      </w:pPr>
      <w:r w:rsidRPr="00B56AD8">
        <w:rPr>
          <w:rFonts w:ascii="Arial" w:hAnsi="Arial" w:cs="Arial"/>
          <w:color w:val="011947"/>
        </w:rPr>
        <w:t>Primary Purpose</w:t>
      </w:r>
    </w:p>
    <w:p w14:paraId="680D1FC1" w14:textId="38E4A408" w:rsidR="009B487A" w:rsidRPr="00B56AD8" w:rsidRDefault="009B487A" w:rsidP="009B487A">
      <w:pPr>
        <w:jc w:val="both"/>
        <w:rPr>
          <w:rFonts w:ascii="Arial" w:eastAsia="Times New Roman" w:hAnsi="Arial" w:cs="Arial"/>
          <w:sz w:val="24"/>
          <w:szCs w:val="20"/>
        </w:rPr>
      </w:pPr>
      <w:r w:rsidRPr="00B56AD8">
        <w:rPr>
          <w:rFonts w:ascii="Arial" w:eastAsia="Times New Roman" w:hAnsi="Arial" w:cs="Arial"/>
          <w:sz w:val="24"/>
          <w:szCs w:val="20"/>
        </w:rPr>
        <w:t>To lead and direct the educational program and administration of a school in accordance with appropriate Acts, Regulations and guidelines.</w:t>
      </w:r>
    </w:p>
    <w:p w14:paraId="3498A638" w14:textId="5D5D5185" w:rsidR="00360CDB" w:rsidRPr="00B56AD8" w:rsidRDefault="00360CDB" w:rsidP="00E432FB">
      <w:pPr>
        <w:pStyle w:val="Heading2"/>
        <w:rPr>
          <w:rFonts w:ascii="Arial" w:hAnsi="Arial" w:cs="Arial"/>
          <w:color w:val="011947"/>
        </w:rPr>
      </w:pPr>
      <w:r w:rsidRPr="00B56AD8">
        <w:rPr>
          <w:rFonts w:ascii="Arial" w:hAnsi="Arial" w:cs="Arial"/>
          <w:color w:val="011947"/>
        </w:rPr>
        <w:t>Level of Responsibility/Direction and Supervision</w:t>
      </w:r>
    </w:p>
    <w:p w14:paraId="16DB7FC5" w14:textId="59CCCF3F" w:rsidR="00C20417" w:rsidRPr="00B56AD8" w:rsidRDefault="00994BBC" w:rsidP="009F3771">
      <w:pPr>
        <w:jc w:val="both"/>
        <w:rPr>
          <w:rFonts w:ascii="Arial" w:eastAsia="Times New Roman" w:hAnsi="Arial" w:cs="Arial"/>
          <w:sz w:val="24"/>
          <w:szCs w:val="20"/>
        </w:rPr>
      </w:pPr>
      <w:bookmarkStart w:id="1" w:name="_Hlk127543251"/>
      <w:r w:rsidRPr="00B56AD8">
        <w:rPr>
          <w:rFonts w:ascii="Arial" w:eastAsia="Times New Roman" w:hAnsi="Arial" w:cs="Arial"/>
          <w:sz w:val="24"/>
          <w:szCs w:val="20"/>
        </w:rPr>
        <w:t>R</w:t>
      </w:r>
      <w:r w:rsidR="009F3771" w:rsidRPr="00B56AD8">
        <w:rPr>
          <w:rFonts w:ascii="Arial" w:eastAsia="Times New Roman" w:hAnsi="Arial" w:cs="Arial"/>
          <w:sz w:val="24"/>
          <w:szCs w:val="20"/>
        </w:rPr>
        <w:t>esponsible for the effective and efficient management of the school</w:t>
      </w:r>
      <w:r w:rsidR="009F792B" w:rsidRPr="00B56AD8">
        <w:rPr>
          <w:rFonts w:ascii="Arial" w:eastAsia="Times New Roman" w:hAnsi="Arial" w:cs="Arial"/>
          <w:sz w:val="24"/>
          <w:szCs w:val="20"/>
        </w:rPr>
        <w:t>.</w:t>
      </w:r>
    </w:p>
    <w:p w14:paraId="4E7F26BA" w14:textId="5A568410" w:rsidR="00994BBC" w:rsidRPr="00B56AD8" w:rsidRDefault="00994BBC" w:rsidP="00994BBC">
      <w:pPr>
        <w:jc w:val="both"/>
        <w:rPr>
          <w:rFonts w:ascii="Arial" w:eastAsia="Times New Roman" w:hAnsi="Arial" w:cs="Arial"/>
          <w:sz w:val="24"/>
          <w:szCs w:val="20"/>
        </w:rPr>
      </w:pPr>
      <w:r w:rsidRPr="00B56AD8">
        <w:rPr>
          <w:rFonts w:ascii="Arial" w:eastAsia="Times New Roman" w:hAnsi="Arial" w:cs="Arial"/>
          <w:sz w:val="24"/>
          <w:szCs w:val="20"/>
        </w:rPr>
        <w:t>Required to lead a shared educational vision focused on providing quality learning outcomes for all students.</w:t>
      </w:r>
    </w:p>
    <w:p w14:paraId="1DE7856C" w14:textId="2137904F" w:rsidR="00C20417" w:rsidRPr="00B56AD8" w:rsidRDefault="00C20417" w:rsidP="00994BBC">
      <w:pPr>
        <w:jc w:val="both"/>
        <w:rPr>
          <w:rFonts w:ascii="Arial" w:eastAsia="Times New Roman" w:hAnsi="Arial" w:cs="Arial"/>
          <w:sz w:val="24"/>
          <w:szCs w:val="20"/>
        </w:rPr>
      </w:pPr>
      <w:r w:rsidRPr="00B56AD8">
        <w:rPr>
          <w:rFonts w:ascii="Arial" w:eastAsia="Times New Roman" w:hAnsi="Arial" w:cs="Arial"/>
          <w:sz w:val="24"/>
          <w:szCs w:val="20"/>
        </w:rPr>
        <w:t>In addition to leading the school and associated operations, Principals are expected to take a leadership role in the broader Schools and Early Years portfolio and with general corporate arrangements.</w:t>
      </w:r>
    </w:p>
    <w:p w14:paraId="7A537309" w14:textId="2A15EADB" w:rsidR="009F3771" w:rsidRPr="00B56AD8" w:rsidRDefault="009F3771" w:rsidP="009F3771">
      <w:pPr>
        <w:jc w:val="both"/>
        <w:rPr>
          <w:rFonts w:ascii="Arial" w:eastAsia="Times New Roman" w:hAnsi="Arial" w:cs="Arial"/>
          <w:sz w:val="24"/>
          <w:szCs w:val="20"/>
        </w:rPr>
      </w:pPr>
      <w:r w:rsidRPr="00B56AD8">
        <w:rPr>
          <w:rFonts w:ascii="Arial" w:eastAsia="Times New Roman" w:hAnsi="Arial" w:cs="Arial"/>
          <w:sz w:val="24"/>
          <w:szCs w:val="20"/>
        </w:rPr>
        <w:t xml:space="preserve">The </w:t>
      </w:r>
      <w:proofErr w:type="gramStart"/>
      <w:r w:rsidRPr="00B56AD8">
        <w:rPr>
          <w:rFonts w:ascii="Arial" w:eastAsia="Times New Roman" w:hAnsi="Arial" w:cs="Arial"/>
          <w:sz w:val="24"/>
          <w:szCs w:val="20"/>
        </w:rPr>
        <w:t>Principal</w:t>
      </w:r>
      <w:proofErr w:type="gramEnd"/>
      <w:r w:rsidRPr="00B56AD8">
        <w:rPr>
          <w:rFonts w:ascii="Arial" w:eastAsia="Times New Roman" w:hAnsi="Arial" w:cs="Arial"/>
          <w:sz w:val="24"/>
          <w:szCs w:val="20"/>
        </w:rPr>
        <w:t xml:space="preserve"> receives advice</w:t>
      </w:r>
      <w:r w:rsidR="00633BE8" w:rsidRPr="00B56AD8">
        <w:rPr>
          <w:rFonts w:ascii="Arial" w:eastAsia="Times New Roman" w:hAnsi="Arial" w:cs="Arial"/>
          <w:sz w:val="24"/>
          <w:szCs w:val="20"/>
        </w:rPr>
        <w:t xml:space="preserve">, </w:t>
      </w:r>
      <w:r w:rsidRPr="00B56AD8">
        <w:rPr>
          <w:rFonts w:ascii="Arial" w:eastAsia="Times New Roman" w:hAnsi="Arial" w:cs="Arial"/>
          <w:sz w:val="24"/>
          <w:szCs w:val="20"/>
        </w:rPr>
        <w:t xml:space="preserve">guidance </w:t>
      </w:r>
      <w:r w:rsidR="00633BE8" w:rsidRPr="00B56AD8">
        <w:rPr>
          <w:rFonts w:ascii="Arial" w:eastAsia="Times New Roman" w:hAnsi="Arial" w:cs="Arial"/>
          <w:sz w:val="24"/>
          <w:szCs w:val="20"/>
        </w:rPr>
        <w:t xml:space="preserve">and direction </w:t>
      </w:r>
      <w:r w:rsidRPr="00B56AD8">
        <w:rPr>
          <w:rFonts w:ascii="Arial" w:eastAsia="Times New Roman" w:hAnsi="Arial" w:cs="Arial"/>
          <w:sz w:val="24"/>
          <w:szCs w:val="20"/>
        </w:rPr>
        <w:t xml:space="preserve">from the </w:t>
      </w:r>
      <w:r w:rsidR="00633BE8" w:rsidRPr="00B56AD8">
        <w:rPr>
          <w:rFonts w:ascii="Arial" w:eastAsia="Times New Roman" w:hAnsi="Arial" w:cs="Arial"/>
          <w:sz w:val="24"/>
          <w:szCs w:val="20"/>
        </w:rPr>
        <w:t>Executive Lead.</w:t>
      </w:r>
    </w:p>
    <w:p w14:paraId="2B0F4C18" w14:textId="4A342FA5" w:rsidR="00360CDB" w:rsidRPr="00B56AD8" w:rsidRDefault="00360CDB" w:rsidP="00360CDB">
      <w:pPr>
        <w:rPr>
          <w:rFonts w:ascii="Arial" w:hAnsi="Arial" w:cs="Arial"/>
          <w:sz w:val="24"/>
          <w:szCs w:val="24"/>
        </w:rPr>
      </w:pPr>
      <w:r w:rsidRPr="00B56AD8">
        <w:rPr>
          <w:rFonts w:ascii="Arial" w:hAnsi="Arial" w:cs="Arial"/>
          <w:sz w:val="24"/>
          <w:szCs w:val="24"/>
        </w:rPr>
        <w:lastRenderedPageBreak/>
        <w:t xml:space="preserve">The </w:t>
      </w:r>
      <w:r w:rsidR="001906FA" w:rsidRPr="00B56AD8">
        <w:rPr>
          <w:rFonts w:ascii="Arial" w:hAnsi="Arial" w:cs="Arial"/>
          <w:sz w:val="24"/>
          <w:szCs w:val="24"/>
        </w:rPr>
        <w:t>D</w:t>
      </w:r>
      <w:r w:rsidRPr="00B56AD8">
        <w:rPr>
          <w:rFonts w:ascii="Arial" w:hAnsi="Arial" w:cs="Arial"/>
          <w:sz w:val="24"/>
          <w:szCs w:val="24"/>
        </w:rPr>
        <w:t>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76EDB0B6" w14:textId="71C88AD1" w:rsidR="005F3B0F" w:rsidRPr="00B56AD8" w:rsidRDefault="005F3B0F" w:rsidP="005F3B0F">
      <w:pPr>
        <w:jc w:val="both"/>
        <w:rPr>
          <w:rFonts w:ascii="Arial" w:eastAsia="Times New Roman" w:hAnsi="Arial" w:cs="Arial"/>
          <w:sz w:val="24"/>
          <w:szCs w:val="20"/>
        </w:rPr>
      </w:pPr>
      <w:r w:rsidRPr="00B56AD8">
        <w:rPr>
          <w:rFonts w:ascii="Arial" w:eastAsia="Times New Roman" w:hAnsi="Arial" w:cs="Arial"/>
          <w:sz w:val="24"/>
          <w:szCs w:val="20"/>
        </w:rPr>
        <w:t xml:space="preserve">In the delivery of the </w:t>
      </w:r>
      <w:r w:rsidR="00CC531A" w:rsidRPr="00B56AD8">
        <w:rPr>
          <w:rFonts w:ascii="Arial" w:eastAsia="Times New Roman" w:hAnsi="Arial" w:cs="Arial"/>
          <w:sz w:val="24"/>
          <w:szCs w:val="20"/>
        </w:rPr>
        <w:t>d</w:t>
      </w:r>
      <w:r w:rsidRPr="00B56AD8">
        <w:rPr>
          <w:rFonts w:ascii="Arial" w:eastAsia="Times New Roman" w:hAnsi="Arial" w:cs="Arial"/>
          <w:sz w:val="24"/>
          <w:szCs w:val="20"/>
        </w:rPr>
        <w:t>epartment’s activities, the occupant must ensure that:</w:t>
      </w:r>
    </w:p>
    <w:p w14:paraId="17A12996" w14:textId="640A6B0A" w:rsidR="005F3B0F" w:rsidRPr="00B56AD8" w:rsidRDefault="005F3B0F" w:rsidP="00C20417">
      <w:pPr>
        <w:numPr>
          <w:ilvl w:val="0"/>
          <w:numId w:val="35"/>
        </w:numPr>
        <w:ind w:left="714" w:hanging="357"/>
        <w:jc w:val="both"/>
        <w:rPr>
          <w:rFonts w:ascii="Arial" w:eastAsia="Times New Roman" w:hAnsi="Arial" w:cs="Arial"/>
          <w:sz w:val="24"/>
          <w:szCs w:val="20"/>
        </w:rPr>
      </w:pPr>
      <w:r w:rsidRPr="00B56AD8">
        <w:rPr>
          <w:rFonts w:ascii="Arial" w:eastAsia="Times New Roman" w:hAnsi="Arial" w:cs="Arial"/>
          <w:sz w:val="24"/>
          <w:szCs w:val="20"/>
        </w:rPr>
        <w:t xml:space="preserve">Within the occupant’s area of organisational responsibility, appropriate strategies are in place to minimise the risk of </w:t>
      </w:r>
      <w:proofErr w:type="gramStart"/>
      <w:r w:rsidRPr="00B56AD8">
        <w:rPr>
          <w:rFonts w:ascii="Arial" w:eastAsia="Times New Roman" w:hAnsi="Arial" w:cs="Arial"/>
          <w:sz w:val="24"/>
          <w:szCs w:val="20"/>
        </w:rPr>
        <w:t>fraud;</w:t>
      </w:r>
      <w:proofErr w:type="gramEnd"/>
    </w:p>
    <w:p w14:paraId="1CC50F86" w14:textId="7AEF09B8" w:rsidR="005F3B0F" w:rsidRPr="00B56AD8" w:rsidRDefault="005F3B0F" w:rsidP="00927F9C">
      <w:pPr>
        <w:numPr>
          <w:ilvl w:val="0"/>
          <w:numId w:val="35"/>
        </w:numPr>
        <w:spacing w:before="0"/>
        <w:ind w:left="714" w:hanging="357"/>
        <w:jc w:val="both"/>
        <w:rPr>
          <w:rFonts w:ascii="Arial" w:eastAsia="Times New Roman" w:hAnsi="Arial" w:cs="Arial"/>
          <w:sz w:val="24"/>
          <w:szCs w:val="20"/>
        </w:rPr>
      </w:pPr>
      <w:r w:rsidRPr="00B56AD8">
        <w:rPr>
          <w:rFonts w:ascii="Arial" w:eastAsia="Times New Roman" w:hAnsi="Arial" w:cs="Arial"/>
          <w:sz w:val="24"/>
          <w:szCs w:val="20"/>
        </w:rPr>
        <w:t xml:space="preserve">Decisions and actions are made ethically and with integrity, on the basis that such is </w:t>
      </w:r>
      <w:proofErr w:type="gramStart"/>
      <w:r w:rsidR="00D02C1D" w:rsidRPr="00B56AD8">
        <w:rPr>
          <w:rFonts w:ascii="Arial" w:eastAsia="Times New Roman" w:hAnsi="Arial" w:cs="Arial"/>
          <w:sz w:val="24"/>
          <w:szCs w:val="20"/>
        </w:rPr>
        <w:t xml:space="preserve">lawful </w:t>
      </w:r>
      <w:r w:rsidRPr="00B56AD8">
        <w:rPr>
          <w:rFonts w:ascii="Arial" w:eastAsia="Times New Roman" w:hAnsi="Arial" w:cs="Arial"/>
          <w:sz w:val="24"/>
          <w:szCs w:val="20"/>
        </w:rPr>
        <w:t xml:space="preserve"> and</w:t>
      </w:r>
      <w:proofErr w:type="gramEnd"/>
      <w:r w:rsidRPr="00B56AD8">
        <w:rPr>
          <w:rFonts w:ascii="Arial" w:eastAsia="Times New Roman" w:hAnsi="Arial" w:cs="Arial"/>
          <w:sz w:val="24"/>
          <w:szCs w:val="20"/>
        </w:rPr>
        <w:t xml:space="preserve"> reasonable based on an objective standard</w:t>
      </w:r>
      <w:r w:rsidR="00927F9C" w:rsidRPr="00B56AD8">
        <w:rPr>
          <w:rFonts w:ascii="Arial" w:eastAsia="Times New Roman" w:hAnsi="Arial" w:cs="Arial"/>
          <w:sz w:val="24"/>
          <w:szCs w:val="20"/>
        </w:rPr>
        <w:t>; and</w:t>
      </w:r>
    </w:p>
    <w:p w14:paraId="0ECB895D" w14:textId="3F54E3E3" w:rsidR="00927F9C" w:rsidRPr="00B56AD8" w:rsidRDefault="008D3057" w:rsidP="005F3B0F">
      <w:pPr>
        <w:numPr>
          <w:ilvl w:val="0"/>
          <w:numId w:val="35"/>
        </w:numPr>
        <w:spacing w:before="0" w:after="0"/>
        <w:ind w:left="714" w:hanging="357"/>
        <w:jc w:val="both"/>
        <w:rPr>
          <w:rFonts w:ascii="Arial" w:eastAsia="Times New Roman" w:hAnsi="Arial" w:cs="Arial"/>
          <w:sz w:val="24"/>
          <w:szCs w:val="20"/>
        </w:rPr>
      </w:pPr>
      <w:r w:rsidRPr="00B56AD8">
        <w:rPr>
          <w:rFonts w:ascii="Arial" w:eastAsia="Times New Roman" w:hAnsi="Arial" w:cs="Arial"/>
          <w:sz w:val="24"/>
          <w:szCs w:val="20"/>
        </w:rPr>
        <w:t>T</w:t>
      </w:r>
      <w:r w:rsidR="00927F9C" w:rsidRPr="00B56AD8">
        <w:rPr>
          <w:rFonts w:ascii="Arial" w:eastAsia="Times New Roman" w:hAnsi="Arial" w:cs="Arial"/>
          <w:sz w:val="24"/>
          <w:szCs w:val="20"/>
        </w:rPr>
        <w:t>he safety and wellbeing of all children and young people is paramount and if the occupant believes or suspects, on reasonable grounds, that a child is suffering, has suffered or is likely to suffer sexual abuse, immediate contact is made with the Strong Families, Safe Kids Advice and Referral Line (ARL) and if the suspected abuse was committed by an employee also notify Workplace Relations</w:t>
      </w:r>
      <w:r w:rsidR="00C20417" w:rsidRPr="00B56AD8">
        <w:rPr>
          <w:rFonts w:ascii="Arial" w:eastAsia="Times New Roman" w:hAnsi="Arial" w:cs="Arial"/>
          <w:sz w:val="24"/>
          <w:szCs w:val="20"/>
        </w:rPr>
        <w:t xml:space="preserve"> within People Services and Support</w:t>
      </w:r>
      <w:r w:rsidR="00927F9C" w:rsidRPr="00B56AD8">
        <w:rPr>
          <w:rFonts w:ascii="Arial" w:eastAsia="Times New Roman" w:hAnsi="Arial" w:cs="Arial"/>
          <w:sz w:val="24"/>
          <w:szCs w:val="20"/>
        </w:rPr>
        <w:t>.</w:t>
      </w:r>
    </w:p>
    <w:p w14:paraId="4FC78E92" w14:textId="6776EAD9" w:rsidR="008E1563" w:rsidRPr="00B56AD8" w:rsidRDefault="00360CDB" w:rsidP="008E1563">
      <w:pPr>
        <w:pStyle w:val="Heading2"/>
        <w:rPr>
          <w:rFonts w:ascii="Arial" w:hAnsi="Arial" w:cs="Arial"/>
          <w:color w:val="011947"/>
        </w:rPr>
      </w:pPr>
      <w:r w:rsidRPr="00B56AD8">
        <w:rPr>
          <w:rFonts w:ascii="Arial" w:hAnsi="Arial" w:cs="Arial"/>
          <w:color w:val="011947"/>
        </w:rPr>
        <w:t>Primary Duties</w:t>
      </w:r>
    </w:p>
    <w:p w14:paraId="6C09B29F" w14:textId="0BEC1A63" w:rsidR="00DA255F" w:rsidRPr="00B56AD8" w:rsidRDefault="00BA316B" w:rsidP="00DA255F">
      <w:pPr>
        <w:jc w:val="both"/>
        <w:rPr>
          <w:rFonts w:ascii="Arial" w:eastAsia="Times New Roman" w:hAnsi="Arial" w:cs="Arial"/>
          <w:color w:val="ED7D31"/>
          <w:sz w:val="24"/>
          <w:szCs w:val="20"/>
        </w:rPr>
      </w:pPr>
      <w:r w:rsidRPr="00B56AD8">
        <w:rPr>
          <w:rFonts w:ascii="Arial" w:eastAsia="Times New Roman" w:hAnsi="Arial" w:cs="Arial"/>
          <w:noProof/>
          <w:color w:val="011947"/>
          <w:sz w:val="24"/>
          <w:szCs w:val="20"/>
        </w:rPr>
        <mc:AlternateContent>
          <mc:Choice Requires="wps">
            <w:drawing>
              <wp:anchor distT="0" distB="0" distL="114300" distR="114300" simplePos="0" relativeHeight="251658240"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4F02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4B48E456" w14:textId="60B7B298"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Ensure that the school provides an educational program which is consistent with the policies of the Department and the requirements of the Office of Tasmanian Assessment Standards and Certification.</w:t>
      </w:r>
    </w:p>
    <w:p w14:paraId="466C87A4" w14:textId="77777777"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Ensure that the curriculum taught and the learning environment provided are appropriate to the needs of students, given the available resources.</w:t>
      </w:r>
    </w:p>
    <w:p w14:paraId="4C9C7498" w14:textId="77777777"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Direct and supervise teaching and support staff.</w:t>
      </w:r>
    </w:p>
    <w:p w14:paraId="2931D924" w14:textId="77777777"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Provide for the well-being and safety of students and staff.</w:t>
      </w:r>
    </w:p>
    <w:p w14:paraId="7863FF75" w14:textId="21EA2FD9"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 xml:space="preserve">Manage the school </w:t>
      </w:r>
      <w:proofErr w:type="gramStart"/>
      <w:r w:rsidRPr="00B56AD8">
        <w:rPr>
          <w:rFonts w:ascii="Arial" w:hAnsi="Arial" w:cs="Arial"/>
          <w:sz w:val="24"/>
          <w:szCs w:val="24"/>
        </w:rPr>
        <w:t>in order to</w:t>
      </w:r>
      <w:proofErr w:type="gramEnd"/>
      <w:r w:rsidRPr="00B56AD8">
        <w:rPr>
          <w:rFonts w:ascii="Arial" w:hAnsi="Arial" w:cs="Arial"/>
          <w:sz w:val="24"/>
          <w:szCs w:val="24"/>
        </w:rPr>
        <w:t xml:space="preserve"> make the most effective use of materials and staff</w:t>
      </w:r>
      <w:r w:rsidR="00EB3EAF" w:rsidRPr="00B56AD8">
        <w:rPr>
          <w:rFonts w:ascii="Arial" w:hAnsi="Arial" w:cs="Arial"/>
          <w:sz w:val="24"/>
          <w:szCs w:val="24"/>
        </w:rPr>
        <w:t>.</w:t>
      </w:r>
    </w:p>
    <w:p w14:paraId="2F4C335A" w14:textId="77777777"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Be responsible for and actively involved in the professional development of staff.</w:t>
      </w:r>
    </w:p>
    <w:p w14:paraId="195AC350" w14:textId="1DD32CE4"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Develop appropriate schoo</w:t>
      </w:r>
      <w:r w:rsidR="009F792B" w:rsidRPr="00B56AD8">
        <w:rPr>
          <w:rFonts w:ascii="Arial" w:hAnsi="Arial" w:cs="Arial"/>
          <w:sz w:val="24"/>
          <w:szCs w:val="24"/>
        </w:rPr>
        <w:t>l</w:t>
      </w:r>
      <w:r w:rsidRPr="00B56AD8">
        <w:rPr>
          <w:rFonts w:ascii="Arial" w:hAnsi="Arial" w:cs="Arial"/>
          <w:sz w:val="24"/>
          <w:szCs w:val="24"/>
        </w:rPr>
        <w:t xml:space="preserve"> community relations.</w:t>
      </w:r>
    </w:p>
    <w:p w14:paraId="4A038FB5" w14:textId="77777777" w:rsidR="00693E26" w:rsidRPr="00B56AD8" w:rsidRDefault="00693E26" w:rsidP="00693E26">
      <w:pPr>
        <w:pStyle w:val="ListParagraph"/>
        <w:numPr>
          <w:ilvl w:val="0"/>
          <w:numId w:val="40"/>
        </w:numPr>
        <w:jc w:val="both"/>
        <w:rPr>
          <w:rFonts w:ascii="Arial" w:hAnsi="Arial" w:cs="Arial"/>
          <w:sz w:val="24"/>
          <w:szCs w:val="24"/>
        </w:rPr>
      </w:pPr>
      <w:r w:rsidRPr="00B56AD8">
        <w:rPr>
          <w:rFonts w:ascii="Arial" w:hAnsi="Arial" w:cs="Arial"/>
          <w:sz w:val="24"/>
          <w:szCs w:val="24"/>
        </w:rPr>
        <w:t>Promote educational continuity from kindergarten to tertiary level.</w:t>
      </w:r>
    </w:p>
    <w:p w14:paraId="66823622" w14:textId="409C7254" w:rsidR="003A0A35" w:rsidRPr="00B56AD8" w:rsidRDefault="003A0A35" w:rsidP="003A0A35">
      <w:pPr>
        <w:pStyle w:val="ListParagraph"/>
        <w:numPr>
          <w:ilvl w:val="0"/>
          <w:numId w:val="40"/>
        </w:numPr>
        <w:jc w:val="both"/>
        <w:rPr>
          <w:rFonts w:ascii="Arial" w:hAnsi="Arial" w:cs="Arial"/>
        </w:rPr>
      </w:pPr>
      <w:r w:rsidRPr="00B56AD8">
        <w:rPr>
          <w:rFonts w:ascii="Arial" w:hAnsi="Arial" w:cs="Arial"/>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B56AD8" w:rsidRDefault="00360CDB" w:rsidP="00360CDB">
      <w:pPr>
        <w:pStyle w:val="Heading2"/>
        <w:rPr>
          <w:rFonts w:ascii="Arial" w:hAnsi="Arial" w:cs="Arial"/>
          <w:color w:val="011947"/>
        </w:rPr>
      </w:pPr>
      <w:r w:rsidRPr="00B56AD8">
        <w:rPr>
          <w:rFonts w:ascii="Arial" w:hAnsi="Arial" w:cs="Arial"/>
          <w:color w:val="011947"/>
        </w:rPr>
        <w:t>Selection Criteria</w:t>
      </w:r>
    </w:p>
    <w:p w14:paraId="657B3243" w14:textId="77777777" w:rsidR="004B06B8" w:rsidRPr="00B56AD8" w:rsidRDefault="004B06B8" w:rsidP="004B06B8">
      <w:pPr>
        <w:jc w:val="both"/>
        <w:rPr>
          <w:rFonts w:ascii="Arial" w:eastAsia="Times New Roman" w:hAnsi="Arial" w:cs="Arial"/>
          <w:sz w:val="24"/>
          <w:szCs w:val="20"/>
        </w:rPr>
      </w:pPr>
      <w:r w:rsidRPr="00B56AD8">
        <w:rPr>
          <w:rFonts w:ascii="Arial" w:eastAsia="Times New Roman" w:hAnsi="Arial" w:cs="Arial"/>
          <w:sz w:val="24"/>
          <w:szCs w:val="20"/>
        </w:rPr>
        <w:t xml:space="preserve">Employment in the State Service is governed by the </w:t>
      </w:r>
      <w:r w:rsidRPr="00B56AD8">
        <w:rPr>
          <w:rFonts w:ascii="Arial" w:eastAsia="Times New Roman" w:hAnsi="Arial" w:cs="Arial"/>
          <w:i/>
          <w:iCs/>
          <w:sz w:val="24"/>
          <w:szCs w:val="20"/>
        </w:rPr>
        <w:t>State Service Act 2000</w:t>
      </w:r>
      <w:r w:rsidRPr="00B56AD8">
        <w:rPr>
          <w:rFonts w:ascii="Arial" w:eastAsia="Times New Roman" w:hAnsi="Arial" w:cs="Arial"/>
          <w:sz w:val="24"/>
          <w:szCs w:val="20"/>
        </w:rPr>
        <w:t xml:space="preserve"> and employment decisions must be based on merit. A decision relating to appointment or promotion is based on merit if:</w:t>
      </w:r>
    </w:p>
    <w:p w14:paraId="42442961" w14:textId="77777777" w:rsidR="004B06B8" w:rsidRPr="00B56AD8" w:rsidRDefault="004B06B8" w:rsidP="004B06B8">
      <w:pPr>
        <w:numPr>
          <w:ilvl w:val="0"/>
          <w:numId w:val="24"/>
        </w:numPr>
        <w:spacing w:before="0" w:after="0"/>
        <w:jc w:val="both"/>
        <w:rPr>
          <w:rFonts w:ascii="Arial" w:eastAsia="Times New Roman" w:hAnsi="Arial" w:cs="Arial"/>
          <w:sz w:val="24"/>
          <w:szCs w:val="20"/>
        </w:rPr>
      </w:pPr>
      <w:r w:rsidRPr="00B56AD8">
        <w:rPr>
          <w:rFonts w:ascii="Arial" w:eastAsia="Times New Roman" w:hAnsi="Arial" w:cs="Arial"/>
          <w:sz w:val="24"/>
          <w:szCs w:val="20"/>
        </w:rPr>
        <w:t>an assessment is made of the relative suitability of the candidates for the duties; and</w:t>
      </w:r>
    </w:p>
    <w:p w14:paraId="4BF43D70" w14:textId="77777777" w:rsidR="004B06B8" w:rsidRPr="00B56AD8" w:rsidRDefault="004B06B8" w:rsidP="004B06B8">
      <w:pPr>
        <w:numPr>
          <w:ilvl w:val="0"/>
          <w:numId w:val="24"/>
        </w:numPr>
        <w:spacing w:before="0" w:after="0"/>
        <w:jc w:val="both"/>
        <w:rPr>
          <w:rFonts w:ascii="Arial" w:eastAsia="Times New Roman" w:hAnsi="Arial" w:cs="Arial"/>
          <w:sz w:val="24"/>
          <w:szCs w:val="20"/>
        </w:rPr>
      </w:pPr>
      <w:r w:rsidRPr="00B56AD8">
        <w:rPr>
          <w:rFonts w:ascii="Arial" w:eastAsia="Times New Roman" w:hAnsi="Arial" w:cs="Arial"/>
          <w:sz w:val="24"/>
          <w:szCs w:val="20"/>
        </w:rPr>
        <w:lastRenderedPageBreak/>
        <w:t>the assessment is based on the relationship between the candidates’ work-related qualities and the work-related qualities genuinely required for the performance of the duties; and</w:t>
      </w:r>
    </w:p>
    <w:p w14:paraId="73E5CB4D" w14:textId="77777777" w:rsidR="004B06B8" w:rsidRPr="00B56AD8" w:rsidRDefault="004B06B8" w:rsidP="004B06B8">
      <w:pPr>
        <w:numPr>
          <w:ilvl w:val="0"/>
          <w:numId w:val="24"/>
        </w:numPr>
        <w:spacing w:before="0" w:after="0"/>
        <w:jc w:val="both"/>
        <w:rPr>
          <w:rFonts w:ascii="Arial" w:eastAsia="Times New Roman" w:hAnsi="Arial" w:cs="Arial"/>
          <w:sz w:val="24"/>
          <w:szCs w:val="20"/>
        </w:rPr>
      </w:pPr>
      <w:r w:rsidRPr="00B56AD8">
        <w:rPr>
          <w:rFonts w:ascii="Arial" w:eastAsia="Times New Roman" w:hAnsi="Arial" w:cs="Arial"/>
          <w:sz w:val="24"/>
          <w:szCs w:val="20"/>
        </w:rPr>
        <w:t>the assessment focuses on the relative capacity of the candidates to achieve outcomes related to the duties; and</w:t>
      </w:r>
    </w:p>
    <w:p w14:paraId="51B52C1A" w14:textId="77777777" w:rsidR="004B06B8" w:rsidRPr="00B56AD8" w:rsidRDefault="004B06B8" w:rsidP="004B06B8">
      <w:pPr>
        <w:numPr>
          <w:ilvl w:val="0"/>
          <w:numId w:val="24"/>
        </w:numPr>
        <w:spacing w:before="0" w:after="0"/>
        <w:jc w:val="both"/>
        <w:rPr>
          <w:rFonts w:ascii="Arial" w:eastAsia="Times New Roman" w:hAnsi="Arial" w:cs="Arial"/>
          <w:sz w:val="24"/>
          <w:szCs w:val="20"/>
        </w:rPr>
      </w:pPr>
      <w:r w:rsidRPr="00B56AD8">
        <w:rPr>
          <w:rFonts w:ascii="Arial" w:eastAsia="Times New Roman" w:hAnsi="Arial" w:cs="Arial"/>
          <w:sz w:val="24"/>
          <w:szCs w:val="20"/>
        </w:rPr>
        <w:t>the assessment is the primary consideration in making the decision.</w:t>
      </w:r>
    </w:p>
    <w:p w14:paraId="2E69C746" w14:textId="77777777" w:rsidR="004B06B8" w:rsidRPr="00B56AD8" w:rsidRDefault="004B06B8" w:rsidP="004B06B8">
      <w:pPr>
        <w:jc w:val="both"/>
        <w:rPr>
          <w:rFonts w:ascii="Arial" w:eastAsia="Times New Roman" w:hAnsi="Arial" w:cs="Arial"/>
          <w:sz w:val="24"/>
          <w:szCs w:val="20"/>
        </w:rPr>
      </w:pPr>
      <w:r w:rsidRPr="00B56AD8">
        <w:rPr>
          <w:rFonts w:ascii="Arial" w:eastAsia="Times New Roman" w:hAnsi="Arial" w:cs="Arial"/>
          <w:sz w:val="24"/>
          <w:szCs w:val="20"/>
        </w:rPr>
        <w:t xml:space="preserve">Work-related qualities might </w:t>
      </w:r>
      <w:proofErr w:type="gramStart"/>
      <w:r w:rsidRPr="00B56AD8">
        <w:rPr>
          <w:rFonts w:ascii="Arial" w:eastAsia="Times New Roman" w:hAnsi="Arial" w:cs="Arial"/>
          <w:sz w:val="24"/>
          <w:szCs w:val="20"/>
        </w:rPr>
        <w:t>include;</w:t>
      </w:r>
      <w:proofErr w:type="gramEnd"/>
      <w:r w:rsidRPr="00B56AD8">
        <w:rPr>
          <w:rFonts w:ascii="Arial" w:eastAsia="Times New Roman" w:hAnsi="Arial" w:cs="Arial"/>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B56AD8" w:rsidRDefault="00360CDB" w:rsidP="00360CDB">
      <w:pPr>
        <w:rPr>
          <w:rFonts w:ascii="Arial" w:hAnsi="Arial" w:cs="Arial"/>
          <w:sz w:val="24"/>
          <w:szCs w:val="24"/>
        </w:rPr>
      </w:pPr>
      <w:r w:rsidRPr="00B56AD8">
        <w:rPr>
          <w:rFonts w:ascii="Arial" w:hAnsi="Arial" w:cs="Arial"/>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B56AD8" w:rsidRDefault="00D72617" w:rsidP="00190B67">
      <w:pPr>
        <w:tabs>
          <w:tab w:val="left" w:pos="6210"/>
        </w:tabs>
        <w:jc w:val="both"/>
        <w:rPr>
          <w:rFonts w:ascii="Arial" w:eastAsia="Times New Roman" w:hAnsi="Arial" w:cs="Arial"/>
          <w:color w:val="ED7D31"/>
          <w:sz w:val="4"/>
          <w:szCs w:val="4"/>
        </w:rPr>
      </w:pPr>
      <w:r w:rsidRPr="00B56AD8">
        <w:rPr>
          <w:rFonts w:ascii="Arial" w:eastAsia="Times New Roman" w:hAnsi="Arial" w:cs="Arial"/>
          <w:noProof/>
          <w:color w:val="ED7D31"/>
          <w:sz w:val="24"/>
          <w:szCs w:val="20"/>
        </w:rPr>
        <mc:AlternateContent>
          <mc:Choice Requires="wps">
            <w:drawing>
              <wp:anchor distT="0" distB="0" distL="114300" distR="114300" simplePos="0" relativeHeight="251658241"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2AD69BA7"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sidRPr="00B56AD8">
        <w:rPr>
          <w:rFonts w:ascii="Arial" w:eastAsia="Times New Roman" w:hAnsi="Arial" w:cs="Arial"/>
          <w:color w:val="ED7D31"/>
          <w:sz w:val="4"/>
          <w:szCs w:val="4"/>
        </w:rPr>
        <w:tab/>
      </w:r>
    </w:p>
    <w:p w14:paraId="056943AD" w14:textId="77777777"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 xml:space="preserve">Teaching competence and capacity to lead the development of </w:t>
      </w:r>
      <w:proofErr w:type="gramStart"/>
      <w:r w:rsidRPr="00B56AD8">
        <w:rPr>
          <w:rFonts w:ascii="Arial" w:hAnsi="Arial" w:cs="Arial"/>
          <w:sz w:val="24"/>
          <w:szCs w:val="24"/>
        </w:rPr>
        <w:t>high quality</w:t>
      </w:r>
      <w:proofErr w:type="gramEnd"/>
      <w:r w:rsidRPr="00B56AD8">
        <w:rPr>
          <w:rFonts w:ascii="Arial" w:hAnsi="Arial" w:cs="Arial"/>
          <w:sz w:val="24"/>
          <w:szCs w:val="24"/>
        </w:rPr>
        <w:t xml:space="preserve"> teaching and learning leading to the achievement of optimal learning outcomes for all students.</w:t>
      </w:r>
    </w:p>
    <w:p w14:paraId="3255E63E" w14:textId="6BCEFAFC"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Capacity to use strategic and innovative thinking and planning to create a vision and be accountable for the future of the school and its ongoing improvement.</w:t>
      </w:r>
    </w:p>
    <w:p w14:paraId="246E9A50" w14:textId="77777777"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Excellent interpersonal skills and the capacity to develop and sustain productive relationships and partnerships with staff, students, parents and the broader community.</w:t>
      </w:r>
    </w:p>
    <w:p w14:paraId="4222B4F9" w14:textId="181A56F8"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 xml:space="preserve">Capacity to manage efficiently and effectively, and be accountable for human, financial and physical resources </w:t>
      </w:r>
      <w:proofErr w:type="gramStart"/>
      <w:r w:rsidRPr="00B56AD8">
        <w:rPr>
          <w:rFonts w:ascii="Arial" w:hAnsi="Arial" w:cs="Arial"/>
          <w:sz w:val="24"/>
          <w:szCs w:val="24"/>
        </w:rPr>
        <w:t>in order to</w:t>
      </w:r>
      <w:proofErr w:type="gramEnd"/>
      <w:r w:rsidRPr="00B56AD8">
        <w:rPr>
          <w:rFonts w:ascii="Arial" w:hAnsi="Arial" w:cs="Arial"/>
          <w:sz w:val="24"/>
          <w:szCs w:val="24"/>
        </w:rPr>
        <w:t xml:space="preserve"> achieve the strategic vision and goals of the Department and school</w:t>
      </w:r>
      <w:r w:rsidR="009F792B" w:rsidRPr="00B56AD8">
        <w:rPr>
          <w:rFonts w:ascii="Arial" w:hAnsi="Arial" w:cs="Arial"/>
          <w:sz w:val="24"/>
          <w:szCs w:val="24"/>
        </w:rPr>
        <w:t>.</w:t>
      </w:r>
    </w:p>
    <w:p w14:paraId="488579FE" w14:textId="77777777"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Capacity to develop and maintain a supportive and inclusive school culture and practice based on ethical values and behaviours.</w:t>
      </w:r>
    </w:p>
    <w:p w14:paraId="43A5CE54" w14:textId="77777777" w:rsidR="00C54AAB" w:rsidRPr="00B56AD8" w:rsidRDefault="00C54AAB" w:rsidP="00C54AAB">
      <w:pPr>
        <w:pStyle w:val="ListParagraph"/>
        <w:numPr>
          <w:ilvl w:val="0"/>
          <w:numId w:val="42"/>
        </w:numPr>
        <w:jc w:val="both"/>
        <w:rPr>
          <w:rFonts w:ascii="Arial" w:hAnsi="Arial" w:cs="Arial"/>
          <w:sz w:val="24"/>
          <w:szCs w:val="24"/>
        </w:rPr>
      </w:pPr>
      <w:r w:rsidRPr="00B56AD8">
        <w:rPr>
          <w:rFonts w:ascii="Arial" w:hAnsi="Arial" w:cs="Arial"/>
          <w:sz w:val="24"/>
          <w:szCs w:val="24"/>
        </w:rPr>
        <w:t xml:space="preserve">Ongoing commitment to the </w:t>
      </w:r>
      <w:proofErr w:type="gramStart"/>
      <w:r w:rsidRPr="00B56AD8">
        <w:rPr>
          <w:rFonts w:ascii="Arial" w:hAnsi="Arial" w:cs="Arial"/>
          <w:sz w:val="24"/>
          <w:szCs w:val="24"/>
        </w:rPr>
        <w:t>Principal’s</w:t>
      </w:r>
      <w:proofErr w:type="gramEnd"/>
      <w:r w:rsidRPr="00B56AD8">
        <w:rPr>
          <w:rFonts w:ascii="Arial" w:hAnsi="Arial" w:cs="Arial"/>
          <w:sz w:val="24"/>
          <w:szCs w:val="24"/>
        </w:rPr>
        <w:t xml:space="preserve"> individual learning and development reflecting an understanding of contemporary national and international educational and leadership trends that impact on education generally and </w:t>
      </w:r>
      <w:proofErr w:type="gramStart"/>
      <w:r w:rsidRPr="00B56AD8">
        <w:rPr>
          <w:rFonts w:ascii="Arial" w:hAnsi="Arial" w:cs="Arial"/>
          <w:sz w:val="24"/>
          <w:szCs w:val="24"/>
        </w:rPr>
        <w:t>schooling in particular</w:t>
      </w:r>
      <w:proofErr w:type="gramEnd"/>
      <w:r w:rsidRPr="00B56AD8">
        <w:rPr>
          <w:rFonts w:ascii="Arial" w:hAnsi="Arial" w:cs="Arial"/>
          <w:sz w:val="24"/>
          <w:szCs w:val="24"/>
        </w:rPr>
        <w:t>.</w:t>
      </w:r>
    </w:p>
    <w:p w14:paraId="6B0EB0C9" w14:textId="77777777" w:rsidR="000C360B" w:rsidRPr="00B56AD8" w:rsidRDefault="000C360B" w:rsidP="00C54AAB">
      <w:pPr>
        <w:pStyle w:val="ListParagraph"/>
        <w:ind w:left="720"/>
        <w:jc w:val="both"/>
        <w:rPr>
          <w:rFonts w:ascii="Arial" w:hAnsi="Arial" w:cs="Arial"/>
          <w:sz w:val="24"/>
          <w:szCs w:val="24"/>
        </w:rPr>
      </w:pPr>
    </w:p>
    <w:p w14:paraId="115BCC76" w14:textId="3934D8F5" w:rsidR="00360CDB" w:rsidRPr="00B56AD8" w:rsidRDefault="00360CDB" w:rsidP="00360CDB">
      <w:pPr>
        <w:pStyle w:val="Heading2"/>
        <w:rPr>
          <w:rFonts w:ascii="Arial" w:hAnsi="Arial" w:cs="Arial"/>
          <w:color w:val="011947"/>
        </w:rPr>
      </w:pPr>
      <w:r w:rsidRPr="00B56AD8">
        <w:rPr>
          <w:rFonts w:ascii="Arial" w:hAnsi="Arial" w:cs="Arial"/>
          <w:color w:val="011947"/>
        </w:rPr>
        <w:t>Requirements</w:t>
      </w:r>
    </w:p>
    <w:p w14:paraId="00609D39" w14:textId="43DAE55B" w:rsidR="00653BB7" w:rsidRPr="00B56AD8" w:rsidRDefault="00653BB7" w:rsidP="006F6682">
      <w:pPr>
        <w:spacing w:after="360"/>
        <w:jc w:val="both"/>
        <w:rPr>
          <w:rFonts w:ascii="Arial" w:eastAsia="Times New Roman" w:hAnsi="Arial" w:cs="Arial"/>
          <w:bCs/>
          <w:sz w:val="24"/>
          <w:szCs w:val="24"/>
        </w:rPr>
      </w:pPr>
      <w:bookmarkStart w:id="2" w:name="_Hlk119596995"/>
      <w:r w:rsidRPr="00B56AD8">
        <w:rPr>
          <w:rFonts w:ascii="Arial" w:eastAsia="Times New Roman" w:hAnsi="Arial" w:cs="Arial"/>
          <w:bCs/>
          <w:sz w:val="24"/>
          <w:szCs w:val="24"/>
        </w:rPr>
        <w:t xml:space="preserve">Registration/licences that are essential requirements of this role must </w:t>
      </w:r>
      <w:proofErr w:type="gramStart"/>
      <w:r w:rsidRPr="00B56AD8">
        <w:rPr>
          <w:rFonts w:ascii="Arial" w:eastAsia="Times New Roman" w:hAnsi="Arial" w:cs="Arial"/>
          <w:bCs/>
          <w:sz w:val="24"/>
          <w:szCs w:val="24"/>
        </w:rPr>
        <w:t>remain current and valid at all times</w:t>
      </w:r>
      <w:proofErr w:type="gramEnd"/>
      <w:r w:rsidRPr="00B56AD8">
        <w:rPr>
          <w:rFonts w:ascii="Arial" w:eastAsia="Times New Roman" w:hAnsi="Arial" w:cs="Arial"/>
          <w:bCs/>
          <w:sz w:val="24"/>
          <w:szCs w:val="24"/>
        </w:rPr>
        <w:t xml:space="preserve"> whilst </w:t>
      </w:r>
      <w:r w:rsidR="00994BBC" w:rsidRPr="00B56AD8">
        <w:rPr>
          <w:rFonts w:ascii="Arial" w:eastAsia="Times New Roman" w:hAnsi="Arial" w:cs="Arial"/>
          <w:bCs/>
          <w:sz w:val="24"/>
          <w:szCs w:val="24"/>
        </w:rPr>
        <w:t>assigned these duties</w:t>
      </w:r>
      <w:r w:rsidRPr="00B56AD8">
        <w:rPr>
          <w:rFonts w:ascii="Arial" w:eastAsia="Times New Roman" w:hAnsi="Arial" w:cs="Arial"/>
          <w:bCs/>
          <w:sz w:val="24"/>
          <w:szCs w:val="24"/>
        </w:rPr>
        <w:t xml:space="preserve"> and the status of these may be checked at any time during employment. It is the employee’s responsibility to ensure that registration/licences remain current and to advise the </w:t>
      </w:r>
      <w:r w:rsidR="00994BBC" w:rsidRPr="00B56AD8">
        <w:rPr>
          <w:rFonts w:ascii="Arial" w:eastAsia="Times New Roman" w:hAnsi="Arial" w:cs="Arial"/>
          <w:bCs/>
          <w:sz w:val="24"/>
          <w:szCs w:val="24"/>
        </w:rPr>
        <w:t>Department</w:t>
      </w:r>
      <w:r w:rsidRPr="00B56AD8">
        <w:rPr>
          <w:rFonts w:ascii="Arial" w:eastAsia="Times New Roman" w:hAnsi="Arial" w:cs="Arial"/>
          <w:bCs/>
          <w:sz w:val="24"/>
          <w:szCs w:val="24"/>
        </w:rPr>
        <w:t xml:space="preserve"> if their circumstances change. This includes notifying the </w:t>
      </w:r>
      <w:r w:rsidR="00994BBC" w:rsidRPr="00B56AD8">
        <w:rPr>
          <w:rFonts w:ascii="Arial" w:eastAsia="Times New Roman" w:hAnsi="Arial" w:cs="Arial"/>
          <w:bCs/>
          <w:sz w:val="24"/>
          <w:szCs w:val="24"/>
        </w:rPr>
        <w:t>Department</w:t>
      </w:r>
      <w:r w:rsidRPr="00B56AD8">
        <w:rPr>
          <w:rFonts w:ascii="Arial" w:eastAsia="Times New Roman" w:hAnsi="Arial" w:cs="Arial"/>
          <w:bCs/>
          <w:sz w:val="24"/>
          <w:szCs w:val="24"/>
        </w:rPr>
        <w:t xml:space="preserve"> of any new criminal </w:t>
      </w:r>
      <w:r w:rsidR="00994BBC" w:rsidRPr="00B56AD8">
        <w:rPr>
          <w:rFonts w:ascii="Arial" w:eastAsia="Times New Roman" w:hAnsi="Arial" w:cs="Arial"/>
          <w:bCs/>
          <w:sz w:val="24"/>
          <w:szCs w:val="24"/>
        </w:rPr>
        <w:t xml:space="preserve">charges or </w:t>
      </w:r>
      <w:r w:rsidRPr="00B56AD8">
        <w:rPr>
          <w:rFonts w:ascii="Arial" w:eastAsia="Times New Roman" w:hAnsi="Arial" w:cs="Arial"/>
          <w:bCs/>
          <w:sz w:val="24"/>
          <w:szCs w:val="24"/>
        </w:rPr>
        <w:t>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57"/>
        <w:gridCol w:w="7725"/>
      </w:tblGrid>
      <w:tr w:rsidR="00E432FB" w:rsidRPr="00B56AD8"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0F7F1D3A" w14:textId="77777777" w:rsidR="00E432FB" w:rsidRPr="00B56AD8" w:rsidRDefault="004E5DAC" w:rsidP="00E432FB">
            <w:pPr>
              <w:rPr>
                <w:rFonts w:ascii="Arial" w:hAnsi="Arial" w:cs="Arial"/>
                <w:b/>
                <w:sz w:val="24"/>
                <w:szCs w:val="24"/>
              </w:rPr>
            </w:pPr>
            <w:r w:rsidRPr="00B56AD8">
              <w:rPr>
                <w:rFonts w:ascii="Arial" w:hAnsi="Arial" w:cs="Arial"/>
                <w:b/>
                <w:sz w:val="24"/>
                <w:szCs w:val="24"/>
              </w:rPr>
              <w:t>Essential</w:t>
            </w:r>
          </w:p>
          <w:p w14:paraId="46B9313A" w14:textId="77777777" w:rsidR="006373A0" w:rsidRPr="00B56AD8" w:rsidRDefault="006373A0" w:rsidP="006373A0">
            <w:pPr>
              <w:rPr>
                <w:rFonts w:ascii="Arial" w:hAnsi="Arial" w:cs="Arial"/>
                <w:b/>
                <w:sz w:val="24"/>
                <w:szCs w:val="24"/>
              </w:rPr>
            </w:pPr>
          </w:p>
          <w:p w14:paraId="6775FCED" w14:textId="69F4ABDB" w:rsidR="006373A0" w:rsidRPr="00B56AD8" w:rsidRDefault="006373A0" w:rsidP="006373A0">
            <w:pPr>
              <w:rPr>
                <w:rFonts w:ascii="Arial" w:hAnsi="Arial" w:cs="Arial"/>
                <w:sz w:val="24"/>
                <w:szCs w:val="24"/>
              </w:rPr>
            </w:pPr>
          </w:p>
        </w:tc>
        <w:tc>
          <w:tcPr>
            <w:tcW w:w="7820" w:type="dxa"/>
          </w:tcPr>
          <w:p w14:paraId="41665A52" w14:textId="77777777" w:rsidR="004B06B8" w:rsidRPr="00B56AD8" w:rsidRDefault="004B06B8" w:rsidP="00A573FF">
            <w:pPr>
              <w:numPr>
                <w:ilvl w:val="0"/>
                <w:numId w:val="32"/>
              </w:numPr>
              <w:spacing w:before="60" w:after="60"/>
              <w:ind w:left="168"/>
              <w:jc w:val="both"/>
              <w:rPr>
                <w:rFonts w:ascii="Arial" w:eastAsia="Times New Roman" w:hAnsi="Arial" w:cs="Arial"/>
                <w:color w:val="ED7D31"/>
                <w:sz w:val="24"/>
                <w:szCs w:val="24"/>
              </w:rPr>
            </w:pPr>
            <w:r w:rsidRPr="00B56AD8">
              <w:rPr>
                <w:rFonts w:ascii="Arial" w:eastAsia="Times New Roman" w:hAnsi="Arial" w:cs="Arial"/>
                <w:sz w:val="24"/>
                <w:szCs w:val="24"/>
              </w:rPr>
              <w:t xml:space="preserve">The </w:t>
            </w:r>
            <w:r w:rsidRPr="00B56AD8">
              <w:rPr>
                <w:rFonts w:ascii="Arial" w:eastAsia="Times New Roman" w:hAnsi="Arial" w:cs="Arial"/>
                <w:i/>
                <w:iCs/>
                <w:sz w:val="24"/>
                <w:szCs w:val="24"/>
              </w:rPr>
              <w:t xml:space="preserve">Registration to Work with Vulnerable People Act 2013 </w:t>
            </w:r>
            <w:r w:rsidRPr="00B56AD8">
              <w:rPr>
                <w:rFonts w:ascii="Arial" w:eastAsia="Times New Roman" w:hAnsi="Arial" w:cs="Arial"/>
                <w:sz w:val="24"/>
                <w:szCs w:val="24"/>
              </w:rPr>
              <w:t xml:space="preserve">requires persons undertaking work in a regulated activity to be registered. A regulated activity is a child related service or activity defined in the Registration to Work with Vulnerable People </w:t>
            </w:r>
            <w:r w:rsidRPr="00B56AD8">
              <w:rPr>
                <w:rFonts w:ascii="Arial" w:eastAsia="Times New Roman" w:hAnsi="Arial" w:cs="Arial"/>
                <w:sz w:val="24"/>
                <w:szCs w:val="24"/>
              </w:rPr>
              <w:lastRenderedPageBreak/>
              <w:t xml:space="preserve">Regulations 2014. This registration must </w:t>
            </w:r>
            <w:proofErr w:type="gramStart"/>
            <w:r w:rsidRPr="00B56AD8">
              <w:rPr>
                <w:rFonts w:ascii="Arial" w:eastAsia="Times New Roman" w:hAnsi="Arial" w:cs="Arial"/>
                <w:sz w:val="24"/>
                <w:szCs w:val="24"/>
              </w:rPr>
              <w:t>remain current and valid at all times</w:t>
            </w:r>
            <w:proofErr w:type="gramEnd"/>
            <w:r w:rsidRPr="00B56AD8">
              <w:rPr>
                <w:rFonts w:ascii="Arial" w:eastAsia="Times New Roman" w:hAnsi="Arial" w:cs="Arial"/>
                <w:sz w:val="24"/>
                <w:szCs w:val="24"/>
              </w:rPr>
              <w:t xml:space="preserve"> whilst employed in this role and the status of this may be checked at any time during employment.</w:t>
            </w:r>
          </w:p>
          <w:p w14:paraId="0EA3D841" w14:textId="77777777" w:rsidR="004B06B8" w:rsidRPr="00B56AD8" w:rsidRDefault="004B06B8" w:rsidP="00A573FF">
            <w:pPr>
              <w:numPr>
                <w:ilvl w:val="1"/>
                <w:numId w:val="32"/>
              </w:numPr>
              <w:spacing w:before="0" w:after="0"/>
              <w:ind w:left="1019"/>
              <w:contextualSpacing/>
              <w:jc w:val="both"/>
              <w:rPr>
                <w:rFonts w:ascii="Arial" w:eastAsia="Calibri" w:hAnsi="Arial" w:cs="Arial"/>
                <w:sz w:val="24"/>
                <w:szCs w:val="24"/>
              </w:rPr>
            </w:pPr>
            <w:r w:rsidRPr="00B56AD8">
              <w:rPr>
                <w:rFonts w:ascii="Arial" w:eastAsia="Calibri" w:hAnsi="Arial" w:cs="Arial"/>
                <w:sz w:val="24"/>
                <w:szCs w:val="24"/>
              </w:rPr>
              <w:t>Current Tasmanian Registration to Work with Vulnerable People (Registration Status – Employment)</w:t>
            </w:r>
          </w:p>
          <w:p w14:paraId="5E0C811F" w14:textId="7FCDFC87" w:rsidR="00197631" w:rsidRPr="00B56AD8" w:rsidRDefault="004B06B8" w:rsidP="00197631">
            <w:pPr>
              <w:numPr>
                <w:ilvl w:val="0"/>
                <w:numId w:val="32"/>
              </w:numPr>
              <w:spacing w:before="60" w:after="60"/>
              <w:ind w:left="168"/>
              <w:jc w:val="both"/>
              <w:rPr>
                <w:rFonts w:ascii="Arial" w:eastAsia="Times New Roman" w:hAnsi="Arial" w:cs="Arial"/>
                <w:color w:val="ED7D31"/>
                <w:sz w:val="24"/>
                <w:szCs w:val="24"/>
              </w:rPr>
            </w:pPr>
            <w:r w:rsidRPr="00B56AD8">
              <w:rPr>
                <w:rFonts w:ascii="Arial" w:eastAsia="Times New Roman" w:hAnsi="Arial" w:cs="Arial"/>
                <w:color w:val="000000"/>
                <w:sz w:val="24"/>
                <w:szCs w:val="24"/>
              </w:rPr>
              <w:t xml:space="preserve">In accordance with section 106 (a) and (b) of the </w:t>
            </w:r>
            <w:r w:rsidRPr="00B56AD8">
              <w:rPr>
                <w:rFonts w:ascii="Arial" w:eastAsia="Times New Roman" w:hAnsi="Arial" w:cs="Arial"/>
                <w:i/>
                <w:iCs/>
                <w:color w:val="000000"/>
                <w:sz w:val="24"/>
                <w:szCs w:val="24"/>
              </w:rPr>
              <w:t>Education Act 2016</w:t>
            </w:r>
            <w:r w:rsidRPr="00B56AD8">
              <w:rPr>
                <w:rFonts w:ascii="Arial" w:eastAsia="Times New Roman" w:hAnsi="Arial" w:cs="Arial"/>
                <w:color w:val="000000"/>
                <w:sz w:val="24"/>
                <w:szCs w:val="24"/>
              </w:rPr>
              <w:t xml:space="preserve">, all Principals must be a registered teacher with full registration within the meaning of the </w:t>
            </w:r>
            <w:r w:rsidRPr="00B56AD8">
              <w:rPr>
                <w:rFonts w:ascii="Arial" w:eastAsia="Times New Roman" w:hAnsi="Arial" w:cs="Arial"/>
                <w:i/>
                <w:iCs/>
                <w:color w:val="000000"/>
                <w:sz w:val="24"/>
                <w:szCs w:val="24"/>
              </w:rPr>
              <w:t>Teachers Registration Act 2000</w:t>
            </w:r>
            <w:r w:rsidRPr="00B56AD8">
              <w:rPr>
                <w:rFonts w:ascii="Arial" w:eastAsia="Times New Roman" w:hAnsi="Arial" w:cs="Arial"/>
                <w:i/>
                <w:iCs/>
                <w:sz w:val="24"/>
                <w:szCs w:val="20"/>
              </w:rPr>
              <w:t>.</w:t>
            </w:r>
            <w:r w:rsidRPr="00B56AD8">
              <w:rPr>
                <w:rFonts w:ascii="Arial" w:eastAsia="Times New Roman" w:hAnsi="Arial" w:cs="Arial"/>
                <w:sz w:val="24"/>
                <w:szCs w:val="20"/>
              </w:rPr>
              <w:t xml:space="preserve"> </w:t>
            </w:r>
          </w:p>
          <w:p w14:paraId="5569855B" w14:textId="56FB2329" w:rsidR="00197631" w:rsidRPr="00B56AD8" w:rsidRDefault="00927F9C" w:rsidP="00197631">
            <w:pPr>
              <w:numPr>
                <w:ilvl w:val="0"/>
                <w:numId w:val="32"/>
              </w:numPr>
              <w:spacing w:before="60" w:after="60"/>
              <w:ind w:left="168"/>
              <w:jc w:val="both"/>
              <w:rPr>
                <w:rFonts w:ascii="Arial" w:eastAsia="Times New Roman" w:hAnsi="Arial" w:cs="Arial"/>
                <w:color w:val="000000" w:themeColor="text1"/>
                <w:sz w:val="24"/>
                <w:szCs w:val="24"/>
              </w:rPr>
            </w:pPr>
            <w:r w:rsidRPr="00B56AD8">
              <w:rPr>
                <w:rFonts w:ascii="Arial" w:eastAsia="Times New Roman" w:hAnsi="Arial" w:cs="Arial"/>
                <w:color w:val="000000" w:themeColor="text1"/>
                <w:sz w:val="24"/>
                <w:szCs w:val="24"/>
              </w:rPr>
              <w:t>S</w:t>
            </w:r>
            <w:r w:rsidR="00197631" w:rsidRPr="00B56AD8">
              <w:rPr>
                <w:rFonts w:ascii="Arial" w:eastAsia="Times New Roman" w:hAnsi="Arial" w:cs="Arial"/>
                <w:color w:val="000000" w:themeColor="text1"/>
                <w:sz w:val="24"/>
                <w:szCs w:val="24"/>
              </w:rPr>
              <w:t>atisfactory</w:t>
            </w:r>
            <w:r w:rsidR="003074D1" w:rsidRPr="00B56AD8">
              <w:rPr>
                <w:rFonts w:ascii="Arial" w:eastAsia="Times New Roman" w:hAnsi="Arial" w:cs="Arial"/>
                <w:color w:val="000000" w:themeColor="text1"/>
                <w:sz w:val="24"/>
                <w:szCs w:val="24"/>
              </w:rPr>
              <w:t xml:space="preserve"> </w:t>
            </w:r>
            <w:r w:rsidR="00D36BB2" w:rsidRPr="00B56AD8">
              <w:rPr>
                <w:rFonts w:ascii="Arial" w:eastAsia="Times New Roman" w:hAnsi="Arial" w:cs="Arial"/>
                <w:color w:val="000000" w:themeColor="text1"/>
                <w:sz w:val="24"/>
                <w:szCs w:val="24"/>
              </w:rPr>
              <w:t xml:space="preserve">completion of the </w:t>
            </w:r>
            <w:r w:rsidR="00197631" w:rsidRPr="00B56AD8">
              <w:rPr>
                <w:rFonts w:ascii="Arial" w:eastAsia="Times New Roman" w:hAnsi="Arial" w:cs="Arial"/>
                <w:color w:val="000000" w:themeColor="text1"/>
                <w:sz w:val="24"/>
                <w:szCs w:val="24"/>
              </w:rPr>
              <w:t>School Leadership and Management Prerequisites (SLMP)</w:t>
            </w:r>
            <w:r w:rsidR="00D36BB2" w:rsidRPr="00B56AD8">
              <w:rPr>
                <w:rFonts w:ascii="Arial" w:eastAsia="Times New Roman" w:hAnsi="Arial" w:cs="Arial"/>
                <w:color w:val="000000" w:themeColor="text1"/>
                <w:sz w:val="24"/>
                <w:szCs w:val="24"/>
              </w:rPr>
              <w:t xml:space="preserve"> </w:t>
            </w:r>
          </w:p>
          <w:p w14:paraId="34750463" w14:textId="7ACA2451" w:rsidR="00E432FB" w:rsidRPr="00B56AD8" w:rsidRDefault="004B06B8" w:rsidP="007A308D">
            <w:pPr>
              <w:pStyle w:val="ListParagraph"/>
              <w:ind w:left="1080"/>
              <w:jc w:val="both"/>
              <w:rPr>
                <w:rFonts w:ascii="Arial" w:eastAsia="Times New Roman" w:hAnsi="Arial" w:cs="Arial"/>
                <w:bCs/>
                <w:sz w:val="24"/>
                <w:szCs w:val="24"/>
              </w:rPr>
            </w:pPr>
            <w:r w:rsidRPr="00B56AD8">
              <w:rPr>
                <w:rFonts w:ascii="Arial" w:eastAsia="Times New Roman" w:hAnsi="Arial" w:cs="Arial"/>
                <w:color w:val="ED7D31"/>
                <w:sz w:val="24"/>
                <w:szCs w:val="24"/>
              </w:rPr>
              <w:t xml:space="preserve"> </w:t>
            </w:r>
          </w:p>
        </w:tc>
      </w:tr>
      <w:tr w:rsidR="0026062E" w:rsidRPr="00B56AD8" w14:paraId="4DE701E2" w14:textId="77777777" w:rsidTr="006373A0">
        <w:tc>
          <w:tcPr>
            <w:tcW w:w="1752" w:type="dxa"/>
          </w:tcPr>
          <w:p w14:paraId="7B124D3C" w14:textId="32401A90" w:rsidR="0026062E" w:rsidRPr="00B56AD8" w:rsidRDefault="0026062E" w:rsidP="00E432FB">
            <w:pPr>
              <w:rPr>
                <w:rFonts w:ascii="Arial" w:hAnsi="Arial" w:cs="Arial"/>
                <w:b/>
                <w:sz w:val="24"/>
                <w:szCs w:val="24"/>
              </w:rPr>
            </w:pPr>
            <w:r w:rsidRPr="00B56AD8">
              <w:rPr>
                <w:rFonts w:ascii="Arial" w:hAnsi="Arial" w:cs="Arial"/>
                <w:b/>
                <w:sz w:val="24"/>
                <w:szCs w:val="24"/>
              </w:rPr>
              <w:lastRenderedPageBreak/>
              <w:t>Desirable</w:t>
            </w:r>
          </w:p>
        </w:tc>
        <w:tc>
          <w:tcPr>
            <w:tcW w:w="7820" w:type="dxa"/>
            <w:tcBorders>
              <w:top w:val="nil"/>
            </w:tcBorders>
          </w:tcPr>
          <w:p w14:paraId="0829FD4C" w14:textId="3B2D3DB1" w:rsidR="0026062E" w:rsidRPr="00B56AD8" w:rsidRDefault="00112357" w:rsidP="00112357">
            <w:pPr>
              <w:numPr>
                <w:ilvl w:val="0"/>
                <w:numId w:val="32"/>
              </w:numPr>
              <w:spacing w:before="60" w:after="60"/>
              <w:ind w:left="168"/>
              <w:jc w:val="both"/>
              <w:rPr>
                <w:rFonts w:ascii="Arial" w:eastAsia="Times New Roman" w:hAnsi="Arial" w:cs="Arial"/>
              </w:rPr>
            </w:pPr>
            <w:r w:rsidRPr="00B56AD8">
              <w:rPr>
                <w:rFonts w:ascii="Arial" w:eastAsia="Times New Roman" w:hAnsi="Arial" w:cs="Arial"/>
                <w:color w:val="000000"/>
                <w:sz w:val="24"/>
                <w:szCs w:val="24"/>
              </w:rPr>
              <w:t>Four years or more training as defined in the Teaching Service (Tasmanian Public Sector) Award 2005.</w:t>
            </w:r>
          </w:p>
        </w:tc>
      </w:tr>
    </w:tbl>
    <w:p w14:paraId="2955F3DE" w14:textId="2E57563A" w:rsidR="00360CDB" w:rsidRPr="00B56AD8" w:rsidRDefault="00360CDB" w:rsidP="00CA664C">
      <w:pPr>
        <w:pStyle w:val="Heading2"/>
        <w:jc w:val="both"/>
        <w:rPr>
          <w:rFonts w:ascii="Arial" w:hAnsi="Arial" w:cs="Arial"/>
          <w:color w:val="011947"/>
        </w:rPr>
      </w:pPr>
      <w:r w:rsidRPr="00B56AD8">
        <w:rPr>
          <w:rFonts w:ascii="Arial" w:hAnsi="Arial" w:cs="Arial"/>
          <w:color w:val="011947"/>
        </w:rPr>
        <w:t xml:space="preserve">Working within the Department </w:t>
      </w:r>
      <w:r w:rsidR="009456F9" w:rsidRPr="00B56AD8">
        <w:rPr>
          <w:rFonts w:ascii="Arial" w:hAnsi="Arial" w:cs="Arial"/>
          <w:i/>
          <w:iCs/>
          <w:color w:val="011947"/>
        </w:rPr>
        <w:t>for</w:t>
      </w:r>
      <w:r w:rsidRPr="00B56AD8">
        <w:rPr>
          <w:rFonts w:ascii="Arial" w:hAnsi="Arial" w:cs="Arial"/>
          <w:i/>
          <w:iCs/>
          <w:color w:val="011947"/>
        </w:rPr>
        <w:t xml:space="preserve"> </w:t>
      </w:r>
      <w:r w:rsidRPr="00B56AD8">
        <w:rPr>
          <w:rFonts w:ascii="Arial" w:hAnsi="Arial" w:cs="Arial"/>
          <w:color w:val="011947"/>
        </w:rPr>
        <w:t>Education</w:t>
      </w:r>
      <w:r w:rsidR="009456F9" w:rsidRPr="00B56AD8">
        <w:rPr>
          <w:rFonts w:ascii="Arial" w:hAnsi="Arial" w:cs="Arial"/>
          <w:color w:val="011947"/>
        </w:rPr>
        <w:t>, Children and Young People</w:t>
      </w:r>
    </w:p>
    <w:p w14:paraId="15EAAB55" w14:textId="77777777" w:rsidR="00224BDC" w:rsidRPr="00B56AD8" w:rsidRDefault="00224BDC" w:rsidP="00307663">
      <w:pPr>
        <w:jc w:val="both"/>
        <w:rPr>
          <w:rFonts w:ascii="Arial" w:hAnsi="Arial" w:cs="Arial"/>
          <w:sz w:val="24"/>
          <w:szCs w:val="24"/>
        </w:rPr>
      </w:pPr>
      <w:r w:rsidRPr="00B56AD8">
        <w:rPr>
          <w:rFonts w:ascii="Arial" w:hAnsi="Arial" w:cs="Arial"/>
          <w:sz w:val="24"/>
          <w:szCs w:val="24"/>
        </w:rPr>
        <w:t>The Department is responsible for the following areas within Tasmania</w:t>
      </w:r>
    </w:p>
    <w:p w14:paraId="66BB8BD5" w14:textId="77777777"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Tasmanian Government Schools</w:t>
      </w:r>
    </w:p>
    <w:p w14:paraId="43F04DCF" w14:textId="77777777"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Child Safety</w:t>
      </w:r>
    </w:p>
    <w:p w14:paraId="74E5D975" w14:textId="77777777"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Youth Justice</w:t>
      </w:r>
    </w:p>
    <w:p w14:paraId="30D466D9" w14:textId="77777777"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Out of Home Care</w:t>
      </w:r>
    </w:p>
    <w:p w14:paraId="5F7A6AB9" w14:textId="77777777"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Libraries Tasmania</w:t>
      </w:r>
    </w:p>
    <w:p w14:paraId="6C5C1AC3" w14:textId="678FBA93" w:rsidR="00224BDC" w:rsidRPr="00B56AD8" w:rsidRDefault="00224BDC" w:rsidP="00307663">
      <w:pPr>
        <w:pStyle w:val="ListParagraph"/>
        <w:numPr>
          <w:ilvl w:val="0"/>
          <w:numId w:val="37"/>
        </w:numPr>
        <w:spacing w:before="0" w:after="0"/>
        <w:ind w:left="1440"/>
        <w:jc w:val="both"/>
        <w:rPr>
          <w:rFonts w:ascii="Arial" w:hAnsi="Arial" w:cs="Arial"/>
          <w:sz w:val="24"/>
          <w:szCs w:val="24"/>
        </w:rPr>
      </w:pPr>
      <w:r w:rsidRPr="00B56AD8">
        <w:rPr>
          <w:rFonts w:ascii="Arial" w:hAnsi="Arial" w:cs="Arial"/>
          <w:sz w:val="24"/>
          <w:szCs w:val="24"/>
        </w:rPr>
        <w:t>Child and Family Learning Centres.</w:t>
      </w:r>
    </w:p>
    <w:p w14:paraId="247B95C4" w14:textId="178124D3" w:rsidR="00224BDC" w:rsidRPr="00B56AD8" w:rsidRDefault="00224BDC" w:rsidP="00307663">
      <w:pPr>
        <w:jc w:val="both"/>
        <w:rPr>
          <w:rFonts w:ascii="Arial" w:hAnsi="Arial" w:cs="Arial"/>
          <w:sz w:val="24"/>
          <w:szCs w:val="24"/>
        </w:rPr>
      </w:pPr>
      <w:r w:rsidRPr="00B56AD8">
        <w:rPr>
          <w:rFonts w:ascii="Arial" w:hAnsi="Arial" w:cs="Arial"/>
          <w:sz w:val="24"/>
          <w:szCs w:val="24"/>
        </w:rPr>
        <w:t xml:space="preserve">This is a </w:t>
      </w:r>
      <w:r w:rsidR="009B3564" w:rsidRPr="00B56AD8">
        <w:rPr>
          <w:rFonts w:ascii="Arial" w:hAnsi="Arial" w:cs="Arial"/>
          <w:sz w:val="24"/>
          <w:szCs w:val="24"/>
        </w:rPr>
        <w:t>department</w:t>
      </w:r>
      <w:r w:rsidRPr="00B56AD8">
        <w:rPr>
          <w:rFonts w:ascii="Arial" w:hAnsi="Arial" w:cs="Arial"/>
          <w:sz w:val="24"/>
          <w:szCs w:val="24"/>
        </w:rPr>
        <w:t xml:space="preserve"> built entirely for children and young people and their communities.   Our </w:t>
      </w:r>
      <w:proofErr w:type="gramStart"/>
      <w:r w:rsidRPr="00B56AD8">
        <w:rPr>
          <w:rFonts w:ascii="Arial" w:hAnsi="Arial" w:cs="Arial"/>
          <w:sz w:val="24"/>
          <w:szCs w:val="24"/>
        </w:rPr>
        <w:t>ultimate goal</w:t>
      </w:r>
      <w:proofErr w:type="gramEnd"/>
      <w:r w:rsidRPr="00B56AD8">
        <w:rPr>
          <w:rFonts w:ascii="Arial" w:hAnsi="Arial" w:cs="Arial"/>
          <w:sz w:val="24"/>
          <w:szCs w:val="24"/>
        </w:rPr>
        <w:t xml:space="preserve"> is to work together to ensure that every child and young person in Tasmania is known, safe, well and learning. The child is at the centre of everything we do, and the way we do it.</w:t>
      </w:r>
    </w:p>
    <w:p w14:paraId="464F5E6F" w14:textId="088F3B8E" w:rsidR="00224BDC" w:rsidRPr="00B56AD8" w:rsidRDefault="00224BDC" w:rsidP="00307663">
      <w:pPr>
        <w:jc w:val="both"/>
        <w:rPr>
          <w:rFonts w:ascii="Arial" w:hAnsi="Arial" w:cs="Arial"/>
          <w:sz w:val="24"/>
          <w:szCs w:val="24"/>
        </w:rPr>
      </w:pPr>
      <w:r w:rsidRPr="00B56AD8">
        <w:rPr>
          <w:rFonts w:ascii="Arial" w:hAnsi="Arial" w:cs="Arial"/>
          <w:sz w:val="24"/>
          <w:szCs w:val="24"/>
        </w:rPr>
        <w:t xml:space="preserve">We work collaboratively across disciplines to combine knowledge, experience and ways of working to benefit children and young people. </w:t>
      </w:r>
    </w:p>
    <w:p w14:paraId="512D976B" w14:textId="7E7AAA19" w:rsidR="00BC7B79" w:rsidRPr="00B56AD8" w:rsidRDefault="00BC7B79" w:rsidP="00307663">
      <w:pPr>
        <w:jc w:val="both"/>
        <w:rPr>
          <w:rFonts w:ascii="Arial" w:hAnsi="Arial" w:cs="Arial"/>
          <w:sz w:val="24"/>
          <w:szCs w:val="24"/>
        </w:rPr>
      </w:pPr>
      <w:r w:rsidRPr="00B56AD8">
        <w:rPr>
          <w:rFonts w:ascii="Arial" w:hAnsi="Arial" w:cs="Arial"/>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B56AD8" w:rsidRDefault="009456F9" w:rsidP="00307663">
      <w:pPr>
        <w:pStyle w:val="Heading2"/>
        <w:jc w:val="both"/>
        <w:rPr>
          <w:rFonts w:ascii="Arial" w:hAnsi="Arial" w:cs="Arial"/>
          <w:color w:val="011947"/>
        </w:rPr>
      </w:pPr>
      <w:r w:rsidRPr="00B56AD8">
        <w:rPr>
          <w:rFonts w:ascii="Arial" w:hAnsi="Arial" w:cs="Arial"/>
          <w:color w:val="011947"/>
        </w:rPr>
        <w:t>Values</w:t>
      </w:r>
      <w:r w:rsidR="00307663" w:rsidRPr="00B56AD8">
        <w:rPr>
          <w:rFonts w:ascii="Arial" w:hAnsi="Arial" w:cs="Arial"/>
          <w:color w:val="011947"/>
        </w:rPr>
        <w:t>,</w:t>
      </w:r>
      <w:r w:rsidRPr="00B56AD8">
        <w:rPr>
          <w:rFonts w:ascii="Arial" w:hAnsi="Arial" w:cs="Arial"/>
          <w:color w:val="011947"/>
        </w:rPr>
        <w:t xml:space="preserve"> Behaviours</w:t>
      </w:r>
      <w:r w:rsidR="00307663" w:rsidRPr="00B56AD8">
        <w:rPr>
          <w:rFonts w:ascii="Arial" w:hAnsi="Arial" w:cs="Arial"/>
          <w:color w:val="011947"/>
        </w:rPr>
        <w:t xml:space="preserve"> and Workplace Diversity</w:t>
      </w:r>
    </w:p>
    <w:p w14:paraId="429ABA9B" w14:textId="169D3470" w:rsidR="00FD47C2" w:rsidRPr="00B56AD8" w:rsidRDefault="00FD47C2" w:rsidP="00FD47C2">
      <w:pPr>
        <w:jc w:val="both"/>
        <w:rPr>
          <w:rFonts w:ascii="Arial" w:hAnsi="Arial" w:cs="Arial"/>
          <w:spacing w:val="0"/>
          <w:sz w:val="24"/>
          <w:szCs w:val="24"/>
          <w:lang w:eastAsia="en-AU"/>
        </w:rPr>
      </w:pPr>
      <w:r w:rsidRPr="00B56AD8">
        <w:rPr>
          <w:rFonts w:ascii="Arial" w:hAnsi="Arial" w:cs="Arial"/>
          <w:sz w:val="24"/>
          <w:szCs w:val="24"/>
        </w:rPr>
        <w:t xml:space="preserve">Our values of </w:t>
      </w:r>
      <w:r w:rsidRPr="00B56AD8">
        <w:rPr>
          <w:rFonts w:ascii="Arial" w:hAnsi="Arial" w:cs="Arial"/>
          <w:b/>
          <w:bCs/>
          <w:sz w:val="24"/>
          <w:szCs w:val="24"/>
        </w:rPr>
        <w:t>Connection, Courage, Growth, Respect, Responsibility</w:t>
      </w:r>
      <w:r w:rsidRPr="00B56AD8">
        <w:rPr>
          <w:rFonts w:ascii="Arial" w:hAnsi="Arial" w:cs="Arial"/>
          <w:sz w:val="24"/>
          <w:szCs w:val="24"/>
        </w:rPr>
        <w:t xml:space="preserve"> represent the foundation of our </w:t>
      </w:r>
      <w:proofErr w:type="gramStart"/>
      <w:r w:rsidRPr="00B56AD8">
        <w:rPr>
          <w:rFonts w:ascii="Arial" w:hAnsi="Arial" w:cs="Arial"/>
          <w:sz w:val="24"/>
          <w:szCs w:val="24"/>
        </w:rPr>
        <w:t>Department’s</w:t>
      </w:r>
      <w:proofErr w:type="gramEnd"/>
      <w:r w:rsidRPr="00B56AD8">
        <w:rPr>
          <w:rFonts w:ascii="Arial" w:hAnsi="Arial" w:cs="Arial"/>
          <w:sz w:val="24"/>
          <w:szCs w:val="24"/>
        </w:rPr>
        <w:t xml:space="preserve"> culture and guide us in all that we do to ensure </w:t>
      </w:r>
      <w:r w:rsidRPr="00B56AD8">
        <w:rPr>
          <w:rFonts w:ascii="Arial" w:hAnsi="Arial" w:cs="Arial"/>
          <w:b/>
          <w:bCs/>
          <w:sz w:val="24"/>
          <w:szCs w:val="24"/>
        </w:rPr>
        <w:t>Bright lives. Positive futures</w:t>
      </w:r>
      <w:r w:rsidRPr="00B56AD8">
        <w:rPr>
          <w:rFonts w:ascii="Arial" w:hAnsi="Arial" w:cs="Arial"/>
          <w:sz w:val="24"/>
          <w:szCs w:val="24"/>
        </w:rPr>
        <w:t>. for every child and young person in Tasmania.</w:t>
      </w:r>
    </w:p>
    <w:p w14:paraId="2149B694" w14:textId="267FF9C1" w:rsidR="00FD47C2" w:rsidRPr="00B56AD8" w:rsidRDefault="00FD47C2" w:rsidP="00FD47C2">
      <w:pPr>
        <w:jc w:val="both"/>
        <w:rPr>
          <w:rFonts w:ascii="Arial" w:hAnsi="Arial" w:cs="Arial"/>
          <w:sz w:val="24"/>
          <w:szCs w:val="24"/>
        </w:rPr>
      </w:pPr>
      <w:r w:rsidRPr="00B56AD8">
        <w:rPr>
          <w:rFonts w:ascii="Arial" w:hAnsi="Arial" w:cs="Arial"/>
          <w:sz w:val="24"/>
          <w:szCs w:val="24"/>
        </w:rPr>
        <w:lastRenderedPageBreak/>
        <w:t>We bring our values to life through our everyday behaviours and actions. We want to attract, recruit and retain people who uphold these values and are committed to building a strong values-based culture.</w:t>
      </w:r>
    </w:p>
    <w:p w14:paraId="23EE17F8" w14:textId="77777777" w:rsidR="00FD47C2" w:rsidRPr="00B56AD8" w:rsidRDefault="00FD47C2" w:rsidP="00FD47C2">
      <w:pPr>
        <w:jc w:val="both"/>
        <w:rPr>
          <w:rFonts w:ascii="Arial" w:hAnsi="Arial" w:cs="Arial"/>
          <w:sz w:val="24"/>
          <w:szCs w:val="24"/>
        </w:rPr>
      </w:pPr>
      <w:r w:rsidRPr="00B56AD8">
        <w:rPr>
          <w:rFonts w:ascii="Arial" w:hAnsi="Arial" w:cs="Arial"/>
          <w:sz w:val="24"/>
          <w:szCs w:val="24"/>
        </w:rPr>
        <w:t xml:space="preserve">Our </w:t>
      </w:r>
      <w:proofErr w:type="gramStart"/>
      <w:r w:rsidRPr="00B56AD8">
        <w:rPr>
          <w:rFonts w:ascii="Arial" w:hAnsi="Arial" w:cs="Arial"/>
          <w:sz w:val="24"/>
          <w:szCs w:val="24"/>
        </w:rPr>
        <w:t>Department</w:t>
      </w:r>
      <w:proofErr w:type="gramEnd"/>
      <w:r w:rsidRPr="00B56AD8">
        <w:rPr>
          <w:rFonts w:ascii="Arial" w:hAnsi="Arial" w:cs="Arial"/>
          <w:sz w:val="24"/>
          <w:szCs w:val="24"/>
        </w:rPr>
        <w:t xml:space="preserve"> is committed to building inclusive workplaces and a workforce that reflects the diversity of the community we serve. We do this through a culture that ensures everyone is </w:t>
      </w:r>
      <w:proofErr w:type="gramStart"/>
      <w:r w:rsidRPr="00B56AD8">
        <w:rPr>
          <w:rFonts w:ascii="Arial" w:hAnsi="Arial" w:cs="Arial"/>
          <w:sz w:val="24"/>
          <w:szCs w:val="24"/>
        </w:rPr>
        <w:t>respected, and</w:t>
      </w:r>
      <w:proofErr w:type="gramEnd"/>
      <w:r w:rsidRPr="00B56AD8">
        <w:rPr>
          <w:rFonts w:ascii="Arial" w:hAnsi="Arial" w:cs="Arial"/>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B56AD8" w:rsidRDefault="00A23956" w:rsidP="00307663">
      <w:pPr>
        <w:pStyle w:val="Heading2"/>
        <w:jc w:val="both"/>
        <w:rPr>
          <w:rFonts w:ascii="Arial" w:hAnsi="Arial" w:cs="Arial"/>
          <w:color w:val="011947"/>
        </w:rPr>
      </w:pPr>
      <w:r w:rsidRPr="00B56AD8">
        <w:rPr>
          <w:rFonts w:ascii="Arial" w:hAnsi="Arial" w:cs="Arial"/>
          <w:color w:val="011947"/>
        </w:rPr>
        <w:t>State Service Principles and Code of Conduct</w:t>
      </w:r>
    </w:p>
    <w:p w14:paraId="3FE71B80" w14:textId="5FBFCA7F" w:rsidR="00660169" w:rsidRPr="00B56AD8" w:rsidRDefault="00A23956" w:rsidP="00307663">
      <w:pPr>
        <w:jc w:val="both"/>
        <w:rPr>
          <w:rFonts w:ascii="Arial" w:hAnsi="Arial" w:cs="Arial"/>
          <w:sz w:val="24"/>
          <w:szCs w:val="24"/>
        </w:rPr>
      </w:pPr>
      <w:r w:rsidRPr="00B56AD8">
        <w:rPr>
          <w:rFonts w:ascii="Arial" w:hAnsi="Arial" w:cs="Arial"/>
          <w:bCs/>
          <w:sz w:val="24"/>
          <w:szCs w:val="24"/>
        </w:rPr>
        <w:t xml:space="preserve">Employment in the State Service is governed by the </w:t>
      </w:r>
      <w:r w:rsidRPr="00B56AD8">
        <w:rPr>
          <w:rFonts w:ascii="Arial" w:hAnsi="Arial" w:cs="Arial"/>
          <w:bCs/>
          <w:i/>
          <w:sz w:val="24"/>
          <w:szCs w:val="24"/>
        </w:rPr>
        <w:t>State Service Act 2000</w:t>
      </w:r>
      <w:r w:rsidRPr="00B56AD8">
        <w:rPr>
          <w:rFonts w:ascii="Arial" w:hAnsi="Arial" w:cs="Arial"/>
          <w:bCs/>
          <w:sz w:val="24"/>
          <w:szCs w:val="24"/>
        </w:rPr>
        <w:t xml:space="preserve">. </w:t>
      </w:r>
      <w:r w:rsidRPr="00B56AD8">
        <w:rPr>
          <w:rFonts w:ascii="Arial" w:hAnsi="Arial" w:cs="Arial"/>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B56AD8" w:rsidRDefault="00A23956" w:rsidP="00A118A3">
      <w:pPr>
        <w:rPr>
          <w:rFonts w:ascii="Arial" w:hAnsi="Arial" w:cs="Arial"/>
          <w:sz w:val="24"/>
          <w:szCs w:val="24"/>
        </w:rPr>
      </w:pPr>
      <w:r w:rsidRPr="00B56AD8">
        <w:rPr>
          <w:rFonts w:ascii="Arial" w:hAnsi="Arial" w:cs="Arial"/>
          <w:sz w:val="24"/>
          <w:szCs w:val="24"/>
        </w:rPr>
        <w:t xml:space="preserve">The State Service Principles and Code of Conduct are contained in the </w:t>
      </w:r>
      <w:r w:rsidRPr="00B56AD8">
        <w:rPr>
          <w:rFonts w:ascii="Arial" w:hAnsi="Arial" w:cs="Arial"/>
          <w:i/>
          <w:sz w:val="24"/>
          <w:szCs w:val="24"/>
        </w:rPr>
        <w:t>State Service Act 2000</w:t>
      </w:r>
      <w:r w:rsidRPr="00B56AD8">
        <w:rPr>
          <w:rFonts w:ascii="Arial" w:hAnsi="Arial" w:cs="Arial"/>
          <w:sz w:val="24"/>
          <w:szCs w:val="24"/>
        </w:rPr>
        <w:t xml:space="preserve"> and can be found on the State Service Management Office website at </w:t>
      </w:r>
      <w:hyperlink r:id="rId14" w:history="1">
        <w:r w:rsidRPr="00B56AD8">
          <w:rPr>
            <w:rStyle w:val="Hyperlink"/>
            <w:rFonts w:ascii="Arial" w:hAnsi="Arial" w:cs="Arial"/>
            <w:sz w:val="24"/>
            <w:szCs w:val="24"/>
          </w:rPr>
          <w:t>http://www.dpac.tas.gov.au/divisions/ssmo</w:t>
        </w:r>
      </w:hyperlink>
      <w:r w:rsidRPr="00B56AD8">
        <w:rPr>
          <w:rFonts w:ascii="Arial" w:hAnsi="Arial" w:cs="Arial"/>
          <w:sz w:val="24"/>
          <w:szCs w:val="24"/>
        </w:rPr>
        <w:t xml:space="preserve"> together with Employment Direction No. 2 </w:t>
      </w:r>
      <w:r w:rsidRPr="00B56AD8">
        <w:rPr>
          <w:rFonts w:ascii="Arial" w:hAnsi="Arial" w:cs="Arial"/>
          <w:bCs/>
          <w:i/>
          <w:iCs/>
          <w:color w:val="FF0000"/>
          <w:sz w:val="24"/>
          <w:szCs w:val="24"/>
        </w:rPr>
        <w:t>State Service Principles</w:t>
      </w:r>
      <w:r w:rsidRPr="00B56AD8">
        <w:rPr>
          <w:rFonts w:ascii="Arial" w:hAnsi="Arial" w:cs="Arial"/>
          <w:bCs/>
          <w:i/>
          <w:iCs/>
          <w:sz w:val="24"/>
          <w:szCs w:val="24"/>
        </w:rPr>
        <w:t xml:space="preserve">. </w:t>
      </w:r>
      <w:r w:rsidRPr="00B56AD8">
        <w:rPr>
          <w:rFonts w:ascii="Arial" w:hAnsi="Arial" w:cs="Arial"/>
          <w:sz w:val="24"/>
          <w:szCs w:val="24"/>
        </w:rPr>
        <w:t>All employees must read these and ensure they understand their responsibilities.</w:t>
      </w:r>
    </w:p>
    <w:p w14:paraId="373CFEAE" w14:textId="17FC4E2C" w:rsidR="00A23956" w:rsidRPr="00B56AD8" w:rsidRDefault="00A23956" w:rsidP="00307663">
      <w:pPr>
        <w:jc w:val="both"/>
        <w:rPr>
          <w:rStyle w:val="Hyperlink"/>
          <w:rFonts w:ascii="Arial" w:hAnsi="Arial" w:cs="Arial"/>
          <w:sz w:val="24"/>
          <w:szCs w:val="24"/>
        </w:rPr>
      </w:pPr>
      <w:r w:rsidRPr="00B56AD8">
        <w:rPr>
          <w:rFonts w:ascii="Arial" w:hAnsi="Arial" w:cs="Arial"/>
          <w:sz w:val="24"/>
          <w:szCs w:val="24"/>
        </w:rPr>
        <w:t xml:space="preserve">All employees are expected to utilise information management systems in a responsible manner in line with the DECYP Condition of Use policy statement located at </w:t>
      </w:r>
      <w:hyperlink r:id="rId15" w:history="1">
        <w:r w:rsidRPr="00B56AD8">
          <w:rPr>
            <w:rStyle w:val="Hyperlink"/>
            <w:rFonts w:ascii="Arial" w:hAnsi="Arial" w:cs="Arial"/>
            <w:sz w:val="24"/>
            <w:szCs w:val="24"/>
          </w:rPr>
          <w:t>Department f</w:t>
        </w:r>
        <w:r w:rsidR="00847537" w:rsidRPr="00B56AD8">
          <w:rPr>
            <w:rStyle w:val="Hyperlink"/>
            <w:rFonts w:ascii="Arial" w:hAnsi="Arial" w:cs="Arial"/>
            <w:sz w:val="24"/>
            <w:szCs w:val="24"/>
          </w:rPr>
          <w:t>or</w:t>
        </w:r>
        <w:r w:rsidRPr="00B56AD8">
          <w:rPr>
            <w:rStyle w:val="Hyperlink"/>
            <w:rFonts w:ascii="Arial" w:hAnsi="Arial" w:cs="Arial"/>
            <w:sz w:val="24"/>
            <w:szCs w:val="24"/>
          </w:rPr>
          <w:t xml:space="preserve"> Education, Children And Young People: Information technology policies</w:t>
        </w:r>
      </w:hyperlink>
    </w:p>
    <w:p w14:paraId="4422C239" w14:textId="344FC6B5" w:rsidR="00FC6EE1" w:rsidRPr="00B56AD8" w:rsidRDefault="00FC6EE1" w:rsidP="00307663">
      <w:pPr>
        <w:pStyle w:val="Heading2"/>
        <w:jc w:val="both"/>
        <w:rPr>
          <w:rFonts w:ascii="Arial" w:hAnsi="Arial" w:cs="Arial"/>
          <w:color w:val="011947"/>
        </w:rPr>
      </w:pPr>
      <w:r w:rsidRPr="00B56AD8">
        <w:rPr>
          <w:rFonts w:ascii="Arial" w:hAnsi="Arial" w:cs="Arial"/>
          <w:color w:val="011947"/>
        </w:rPr>
        <w:t xml:space="preserve">Work Health and Safety </w:t>
      </w:r>
    </w:p>
    <w:p w14:paraId="0481DCD4" w14:textId="7B79BE87" w:rsidR="00FC6EE1" w:rsidRPr="00B56AD8" w:rsidRDefault="00FC6EE1" w:rsidP="00CA664C">
      <w:pPr>
        <w:jc w:val="both"/>
        <w:rPr>
          <w:rFonts w:ascii="Arial" w:hAnsi="Arial" w:cs="Arial"/>
          <w:sz w:val="24"/>
          <w:szCs w:val="24"/>
        </w:rPr>
      </w:pPr>
      <w:r w:rsidRPr="00B56AD8">
        <w:rPr>
          <w:rFonts w:ascii="Arial" w:hAnsi="Arial" w:cs="Arial"/>
          <w:sz w:val="24"/>
          <w:szCs w:val="24"/>
        </w:rPr>
        <w:t>The Department is committed to high standards of performance in respect of work health and safety</w:t>
      </w:r>
      <w:r w:rsidR="00307663" w:rsidRPr="00B56AD8">
        <w:rPr>
          <w:rFonts w:ascii="Arial" w:hAnsi="Arial" w:cs="Arial"/>
          <w:sz w:val="24"/>
          <w:szCs w:val="24"/>
        </w:rPr>
        <w:t xml:space="preserve">.  </w:t>
      </w:r>
      <w:r w:rsidRPr="00B56AD8">
        <w:rPr>
          <w:rFonts w:ascii="Arial" w:hAnsi="Arial" w:cs="Arial"/>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B56AD8" w:rsidRDefault="00FC6EE1" w:rsidP="00CA664C">
      <w:pPr>
        <w:jc w:val="both"/>
        <w:rPr>
          <w:rFonts w:ascii="Arial" w:hAnsi="Arial" w:cs="Arial"/>
          <w:sz w:val="24"/>
          <w:szCs w:val="24"/>
        </w:rPr>
      </w:pPr>
      <w:r w:rsidRPr="00B56AD8">
        <w:rPr>
          <w:rFonts w:ascii="Arial" w:hAnsi="Arial" w:cs="Arial"/>
          <w:sz w:val="24"/>
          <w:szCs w:val="24"/>
        </w:rPr>
        <w:t xml:space="preserve">In accordance with the </w:t>
      </w:r>
      <w:r w:rsidRPr="00B56AD8">
        <w:rPr>
          <w:rFonts w:ascii="Arial" w:hAnsi="Arial" w:cs="Arial"/>
          <w:i/>
          <w:sz w:val="24"/>
          <w:szCs w:val="24"/>
        </w:rPr>
        <w:t>Work Health and Safety Act 2012</w:t>
      </w:r>
      <w:r w:rsidRPr="00B56AD8">
        <w:rPr>
          <w:rFonts w:ascii="Arial" w:hAnsi="Arial" w:cs="Arial"/>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B56AD8" w:rsidRDefault="00307663" w:rsidP="00A66D75">
      <w:pPr>
        <w:jc w:val="both"/>
        <w:rPr>
          <w:rFonts w:ascii="Arial" w:hAnsi="Arial" w:cs="Arial"/>
          <w:sz w:val="24"/>
          <w:szCs w:val="24"/>
        </w:rPr>
      </w:pPr>
      <w:r w:rsidRPr="00B56AD8">
        <w:rPr>
          <w:rFonts w:ascii="Arial" w:hAnsi="Arial" w:cs="Arial"/>
          <w:sz w:val="24"/>
          <w:szCs w:val="24"/>
        </w:rPr>
        <w:t>We are</w:t>
      </w:r>
      <w:r w:rsidR="00FC6EE1" w:rsidRPr="00B56AD8">
        <w:rPr>
          <w:rFonts w:ascii="Arial" w:hAnsi="Arial" w:cs="Arial"/>
          <w:sz w:val="24"/>
          <w:szCs w:val="24"/>
        </w:rPr>
        <w:t xml:space="preserve"> committed to providing a safe workplace for all employees and </w:t>
      </w:r>
      <w:r w:rsidRPr="00B56AD8">
        <w:rPr>
          <w:rFonts w:ascii="Arial" w:hAnsi="Arial" w:cs="Arial"/>
          <w:sz w:val="24"/>
          <w:szCs w:val="24"/>
        </w:rPr>
        <w:t>have</w:t>
      </w:r>
      <w:r w:rsidR="00FC6EE1" w:rsidRPr="00B56AD8">
        <w:rPr>
          <w:rFonts w:ascii="Arial" w:hAnsi="Arial" w:cs="Arial"/>
          <w:sz w:val="24"/>
          <w:szCs w:val="24"/>
        </w:rPr>
        <w:t xml:space="preserve"> zero tolerance to all forms of violence.</w:t>
      </w:r>
      <w:r w:rsidRPr="00B56AD8">
        <w:rPr>
          <w:rFonts w:ascii="Arial" w:hAnsi="Arial" w:cs="Arial"/>
          <w:sz w:val="24"/>
          <w:szCs w:val="24"/>
        </w:rPr>
        <w:t xml:space="preserve"> The Department is </w:t>
      </w:r>
      <w:r w:rsidR="00FC6EE1" w:rsidRPr="00B56AD8">
        <w:rPr>
          <w:rFonts w:ascii="Arial" w:hAnsi="Arial" w:cs="Arial"/>
          <w:sz w:val="24"/>
          <w:szCs w:val="24"/>
        </w:rPr>
        <w:t>a smoke-free work environment, and smoking is prohibited in all State Government workplaces, including vehicles and vessels.</w:t>
      </w:r>
    </w:p>
    <w:p w14:paraId="33B0BC72" w14:textId="77777777" w:rsidR="00FC6EE1" w:rsidRPr="00B56AD8" w:rsidRDefault="00FC6EE1" w:rsidP="00307663">
      <w:pPr>
        <w:pStyle w:val="Heading2"/>
        <w:jc w:val="both"/>
        <w:rPr>
          <w:rFonts w:ascii="Arial" w:hAnsi="Arial" w:cs="Arial"/>
          <w:color w:val="011947"/>
        </w:rPr>
      </w:pPr>
      <w:r w:rsidRPr="00B56AD8">
        <w:rPr>
          <w:rFonts w:ascii="Arial" w:hAnsi="Arial" w:cs="Arial"/>
          <w:color w:val="011947"/>
        </w:rPr>
        <w:t>Information &amp; Records Management and Confidentiality</w:t>
      </w:r>
    </w:p>
    <w:p w14:paraId="1E3A2DB2" w14:textId="77777777" w:rsidR="00FC6EE1" w:rsidRPr="00B56AD8" w:rsidRDefault="00FC6EE1" w:rsidP="00307663">
      <w:pPr>
        <w:spacing w:after="0"/>
        <w:jc w:val="both"/>
        <w:rPr>
          <w:rFonts w:ascii="Arial" w:eastAsia="Times New Roman" w:hAnsi="Arial" w:cs="Arial"/>
          <w:sz w:val="24"/>
          <w:szCs w:val="24"/>
        </w:rPr>
      </w:pPr>
      <w:r w:rsidRPr="00B56AD8">
        <w:rPr>
          <w:rFonts w:ascii="Arial" w:eastAsia="Times New Roman" w:hAnsi="Arial" w:cs="Arial"/>
          <w:sz w:val="24"/>
          <w:szCs w:val="24"/>
        </w:rPr>
        <w:t>All employees are responsible and accountable to:</w:t>
      </w:r>
    </w:p>
    <w:p w14:paraId="38F7B5B2" w14:textId="77777777" w:rsidR="00FC6EE1" w:rsidRPr="00B56AD8" w:rsidRDefault="00FC6EE1" w:rsidP="00307663">
      <w:pPr>
        <w:numPr>
          <w:ilvl w:val="0"/>
          <w:numId w:val="25"/>
        </w:numPr>
        <w:spacing w:before="0" w:after="0"/>
        <w:jc w:val="both"/>
        <w:rPr>
          <w:rFonts w:ascii="Arial" w:eastAsia="Times New Roman" w:hAnsi="Arial" w:cs="Arial"/>
          <w:sz w:val="24"/>
          <w:szCs w:val="24"/>
          <w:lang w:val="en-US"/>
        </w:rPr>
      </w:pPr>
      <w:r w:rsidRPr="00B56AD8">
        <w:rPr>
          <w:rFonts w:ascii="Arial" w:eastAsia="Times New Roman" w:hAnsi="Arial" w:cs="Arial"/>
          <w:sz w:val="24"/>
          <w:szCs w:val="24"/>
          <w:lang w:val="en-US"/>
        </w:rPr>
        <w:lastRenderedPageBreak/>
        <w:t>Create records according to the business needs and business processes of their business unit or school that adequately document the business activities in which they take part.</w:t>
      </w:r>
    </w:p>
    <w:p w14:paraId="120231B4" w14:textId="77777777" w:rsidR="00FC6EE1" w:rsidRPr="00B56AD8" w:rsidRDefault="00FC6EE1" w:rsidP="00307663">
      <w:pPr>
        <w:numPr>
          <w:ilvl w:val="0"/>
          <w:numId w:val="25"/>
        </w:numPr>
        <w:spacing w:before="0" w:after="0"/>
        <w:jc w:val="both"/>
        <w:rPr>
          <w:rFonts w:ascii="Arial" w:eastAsia="Times New Roman" w:hAnsi="Arial" w:cs="Arial"/>
          <w:sz w:val="24"/>
          <w:szCs w:val="24"/>
          <w:lang w:val="en-US"/>
        </w:rPr>
      </w:pPr>
      <w:r w:rsidRPr="00B56AD8">
        <w:rPr>
          <w:rFonts w:ascii="Arial" w:eastAsia="Times New Roman" w:hAnsi="Arial" w:cs="Arial"/>
          <w:sz w:val="24"/>
          <w:szCs w:val="24"/>
          <w:lang w:val="en-US"/>
        </w:rPr>
        <w:t xml:space="preserve">Register documents in an approved Business Information Management System. </w:t>
      </w:r>
    </w:p>
    <w:p w14:paraId="7939772A" w14:textId="77777777" w:rsidR="00FC6EE1" w:rsidRPr="00B56AD8" w:rsidRDefault="00FC6EE1" w:rsidP="00307663">
      <w:pPr>
        <w:numPr>
          <w:ilvl w:val="0"/>
          <w:numId w:val="25"/>
        </w:numPr>
        <w:spacing w:before="0" w:after="0"/>
        <w:jc w:val="both"/>
        <w:rPr>
          <w:rFonts w:ascii="Arial" w:eastAsia="Times New Roman" w:hAnsi="Arial" w:cs="Arial"/>
          <w:sz w:val="24"/>
          <w:szCs w:val="24"/>
          <w:lang w:val="en-US"/>
        </w:rPr>
      </w:pPr>
      <w:r w:rsidRPr="00B56AD8">
        <w:rPr>
          <w:rFonts w:ascii="Arial" w:eastAsia="Times New Roman" w:hAnsi="Arial" w:cs="Arial"/>
          <w:sz w:val="24"/>
          <w:szCs w:val="24"/>
          <w:lang w:val="en-US"/>
        </w:rPr>
        <w:t>Access information for legitimate work purposes only.</w:t>
      </w:r>
    </w:p>
    <w:p w14:paraId="2C9D8FFA" w14:textId="77777777" w:rsidR="00FC6EE1" w:rsidRPr="00B56AD8" w:rsidRDefault="00FC6EE1" w:rsidP="00307663">
      <w:pPr>
        <w:spacing w:after="0"/>
        <w:jc w:val="both"/>
        <w:rPr>
          <w:rFonts w:ascii="Arial" w:eastAsia="Times New Roman" w:hAnsi="Arial" w:cs="Arial"/>
          <w:sz w:val="24"/>
          <w:szCs w:val="24"/>
        </w:rPr>
      </w:pPr>
      <w:r w:rsidRPr="00B56AD8">
        <w:rPr>
          <w:rFonts w:ascii="Arial" w:eastAsia="Times New Roman" w:hAnsi="Arial" w:cs="Arial"/>
          <w:sz w:val="24"/>
          <w:szCs w:val="24"/>
        </w:rPr>
        <w:t>All employees must not:</w:t>
      </w:r>
    </w:p>
    <w:p w14:paraId="33A93E44" w14:textId="77777777" w:rsidR="00FC6EE1" w:rsidRPr="00B56AD8" w:rsidRDefault="00FC6EE1" w:rsidP="00307663">
      <w:pPr>
        <w:numPr>
          <w:ilvl w:val="0"/>
          <w:numId w:val="26"/>
        </w:numPr>
        <w:spacing w:before="0" w:after="0"/>
        <w:jc w:val="both"/>
        <w:rPr>
          <w:rFonts w:ascii="Arial" w:eastAsia="Times New Roman" w:hAnsi="Arial" w:cs="Arial"/>
          <w:sz w:val="24"/>
          <w:szCs w:val="24"/>
          <w:lang w:val="en-US"/>
        </w:rPr>
      </w:pPr>
      <w:r w:rsidRPr="00B56AD8">
        <w:rPr>
          <w:rFonts w:ascii="Arial" w:eastAsia="Times New Roman" w:hAnsi="Arial" w:cs="Arial"/>
          <w:sz w:val="24"/>
          <w:szCs w:val="24"/>
          <w:lang w:val="en-US"/>
        </w:rPr>
        <w:t xml:space="preserve">Destroy delete or alter records without proper authority; or </w:t>
      </w:r>
    </w:p>
    <w:p w14:paraId="7EC68560" w14:textId="77777777" w:rsidR="00FC6EE1" w:rsidRPr="00B56AD8" w:rsidRDefault="00FC6EE1" w:rsidP="00307663">
      <w:pPr>
        <w:numPr>
          <w:ilvl w:val="0"/>
          <w:numId w:val="26"/>
        </w:numPr>
        <w:spacing w:before="0" w:after="0"/>
        <w:jc w:val="both"/>
        <w:rPr>
          <w:rFonts w:ascii="Arial" w:eastAsia="Times New Roman" w:hAnsi="Arial" w:cs="Arial"/>
          <w:sz w:val="24"/>
          <w:szCs w:val="24"/>
          <w:lang w:val="en-US"/>
        </w:rPr>
      </w:pPr>
      <w:r w:rsidRPr="00B56AD8">
        <w:rPr>
          <w:rFonts w:ascii="Arial" w:eastAsia="Times New Roman" w:hAnsi="Arial" w:cs="Arial"/>
          <w:sz w:val="24"/>
          <w:szCs w:val="24"/>
          <w:lang w:val="en-US"/>
        </w:rPr>
        <w:t>Remove information, documents or records from the Department without permission.</w:t>
      </w:r>
    </w:p>
    <w:p w14:paraId="20F7A971" w14:textId="77777777" w:rsidR="00FC6EE1" w:rsidRPr="00B56AD8" w:rsidRDefault="00FC6EE1" w:rsidP="00307663">
      <w:pPr>
        <w:pStyle w:val="Heading2"/>
        <w:jc w:val="both"/>
        <w:rPr>
          <w:rFonts w:ascii="Arial" w:hAnsi="Arial" w:cs="Arial"/>
          <w:color w:val="011947"/>
        </w:rPr>
      </w:pPr>
      <w:r w:rsidRPr="00B56AD8">
        <w:rPr>
          <w:rFonts w:ascii="Arial" w:hAnsi="Arial" w:cs="Arial"/>
          <w:color w:val="011947"/>
        </w:rPr>
        <w:t>Delegations</w:t>
      </w:r>
    </w:p>
    <w:p w14:paraId="21A01FF1" w14:textId="77777777" w:rsidR="001906FA" w:rsidRPr="00B56AD8" w:rsidRDefault="00FC6EE1" w:rsidP="00307663">
      <w:pPr>
        <w:jc w:val="both"/>
        <w:rPr>
          <w:rFonts w:ascii="Arial" w:hAnsi="Arial" w:cs="Arial"/>
          <w:bCs/>
          <w:sz w:val="24"/>
          <w:szCs w:val="24"/>
        </w:rPr>
      </w:pPr>
      <w:r w:rsidRPr="00B56AD8">
        <w:rPr>
          <w:rFonts w:ascii="Arial" w:hAnsi="Arial" w:cs="Arial"/>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B56AD8" w:rsidRDefault="00FC6EE1" w:rsidP="00307663">
      <w:pPr>
        <w:jc w:val="both"/>
        <w:rPr>
          <w:rFonts w:ascii="Arial" w:hAnsi="Arial" w:cs="Arial"/>
          <w:bCs/>
          <w:sz w:val="24"/>
          <w:szCs w:val="24"/>
        </w:rPr>
      </w:pPr>
      <w:r w:rsidRPr="00B56AD8">
        <w:rPr>
          <w:rFonts w:ascii="Arial" w:hAnsi="Arial" w:cs="Arial"/>
          <w:bCs/>
          <w:sz w:val="24"/>
          <w:szCs w:val="24"/>
        </w:rPr>
        <w:t xml:space="preserve">The </w:t>
      </w:r>
      <w:r w:rsidR="001906FA" w:rsidRPr="00B56AD8">
        <w:rPr>
          <w:rFonts w:ascii="Arial" w:hAnsi="Arial" w:cs="Arial"/>
          <w:bCs/>
          <w:sz w:val="24"/>
          <w:szCs w:val="24"/>
        </w:rPr>
        <w:t>D</w:t>
      </w:r>
      <w:r w:rsidRPr="00B56AD8">
        <w:rPr>
          <w:rFonts w:ascii="Arial" w:hAnsi="Arial" w:cs="Arial"/>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B56AD8" w:rsidRDefault="00FC6EE1" w:rsidP="00307663">
      <w:pPr>
        <w:pStyle w:val="Heading2"/>
        <w:jc w:val="both"/>
        <w:rPr>
          <w:rFonts w:ascii="Arial" w:hAnsi="Arial" w:cs="Arial"/>
          <w:color w:val="011947"/>
        </w:rPr>
      </w:pPr>
      <w:r w:rsidRPr="00B56AD8">
        <w:rPr>
          <w:rFonts w:ascii="Arial" w:hAnsi="Arial" w:cs="Arial"/>
          <w:color w:val="011947"/>
        </w:rPr>
        <w:t>Fraud Management</w:t>
      </w:r>
    </w:p>
    <w:p w14:paraId="27D80733" w14:textId="3178496C" w:rsidR="001906FA" w:rsidRPr="00B56AD8" w:rsidRDefault="00FC6EE1" w:rsidP="00307663">
      <w:pPr>
        <w:jc w:val="both"/>
        <w:rPr>
          <w:rFonts w:ascii="Arial" w:hAnsi="Arial" w:cs="Arial"/>
          <w:bCs/>
          <w:sz w:val="24"/>
          <w:szCs w:val="24"/>
        </w:rPr>
      </w:pPr>
      <w:r w:rsidRPr="00B56AD8">
        <w:rPr>
          <w:rFonts w:ascii="Arial" w:hAnsi="Arial" w:cs="Arial"/>
          <w:bCs/>
          <w:sz w:val="24"/>
          <w:szCs w:val="24"/>
        </w:rPr>
        <w:t xml:space="preserve">The </w:t>
      </w:r>
      <w:r w:rsidR="001906FA" w:rsidRPr="00B56AD8">
        <w:rPr>
          <w:rFonts w:ascii="Arial" w:hAnsi="Arial" w:cs="Arial"/>
          <w:bCs/>
          <w:sz w:val="24"/>
          <w:szCs w:val="24"/>
        </w:rPr>
        <w:t>D</w:t>
      </w:r>
      <w:r w:rsidRPr="00B56AD8">
        <w:rPr>
          <w:rFonts w:ascii="Arial" w:hAnsi="Arial" w:cs="Arial"/>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B56AD8">
        <w:rPr>
          <w:rFonts w:ascii="Arial" w:hAnsi="Arial" w:cs="Arial"/>
          <w:bCs/>
          <w:sz w:val="24"/>
          <w:szCs w:val="24"/>
        </w:rPr>
        <w:t>Director</w:t>
      </w:r>
      <w:proofErr w:type="gramEnd"/>
      <w:r w:rsidRPr="00B56AD8">
        <w:rPr>
          <w:rFonts w:ascii="Arial" w:hAnsi="Arial" w:cs="Arial"/>
          <w:bCs/>
          <w:sz w:val="24"/>
          <w:szCs w:val="24"/>
        </w:rPr>
        <w:t xml:space="preserve"> or line manager or to the Manager Internal Audit.  </w:t>
      </w:r>
    </w:p>
    <w:p w14:paraId="5A0FCA87" w14:textId="2267B5B5" w:rsidR="00FC6EE1" w:rsidRPr="00B56AD8" w:rsidRDefault="001906FA" w:rsidP="00307663">
      <w:pPr>
        <w:jc w:val="both"/>
        <w:rPr>
          <w:rFonts w:ascii="Arial" w:hAnsi="Arial" w:cs="Arial"/>
          <w:bCs/>
          <w:sz w:val="24"/>
          <w:szCs w:val="24"/>
        </w:rPr>
      </w:pPr>
      <w:r w:rsidRPr="00B56AD8">
        <w:rPr>
          <w:rFonts w:ascii="Arial" w:hAnsi="Arial" w:cs="Arial"/>
          <w:bCs/>
          <w:sz w:val="24"/>
          <w:szCs w:val="24"/>
        </w:rPr>
        <w:t>We are</w:t>
      </w:r>
      <w:r w:rsidR="00FC6EE1" w:rsidRPr="00B56AD8">
        <w:rPr>
          <w:rFonts w:ascii="Arial" w:hAnsi="Arial" w:cs="Arial"/>
          <w:bCs/>
          <w:sz w:val="24"/>
          <w:szCs w:val="24"/>
        </w:rPr>
        <w:t xml:space="preserve"> committed to minimising the occurrence of fraud through the development, implementation and regular review of fraud prevention, detection and response strategies, and </w:t>
      </w:r>
      <w:r w:rsidRPr="00B56AD8">
        <w:rPr>
          <w:rFonts w:ascii="Arial" w:hAnsi="Arial" w:cs="Arial"/>
          <w:bCs/>
          <w:sz w:val="24"/>
          <w:szCs w:val="24"/>
        </w:rPr>
        <w:t>are</w:t>
      </w:r>
      <w:r w:rsidR="00FC6EE1" w:rsidRPr="00B56AD8">
        <w:rPr>
          <w:rFonts w:ascii="Arial" w:hAnsi="Arial" w:cs="Arial"/>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p w14:paraId="0FCCF013" w14:textId="607CCBE1" w:rsidR="00FC6EE1" w:rsidRPr="00B56AD8" w:rsidRDefault="00FC6EE1" w:rsidP="00070CE3">
      <w:pPr>
        <w:spacing w:after="0"/>
        <w:jc w:val="both"/>
        <w:rPr>
          <w:rFonts w:ascii="Arial" w:hAnsi="Arial" w:cs="Arial"/>
          <w:bCs/>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B56AD8" w14:paraId="208A59FB" w14:textId="77777777" w:rsidTr="0037723F">
        <w:trPr>
          <w:trHeight w:val="419"/>
          <w:tblHeader/>
        </w:trPr>
        <w:tc>
          <w:tcPr>
            <w:tcW w:w="9026" w:type="dxa"/>
          </w:tcPr>
          <w:p w14:paraId="4DF3E44E" w14:textId="7C312011" w:rsidR="0037723F" w:rsidRPr="00B56AD8" w:rsidRDefault="0037723F" w:rsidP="006D6A31">
            <w:pPr>
              <w:spacing w:before="240" w:after="240"/>
              <w:rPr>
                <w:rFonts w:ascii="Arial" w:hAnsi="Arial" w:cs="Arial"/>
                <w:color w:val="000000"/>
                <w:lang w:val="en-US"/>
              </w:rPr>
            </w:pPr>
            <w:bookmarkStart w:id="3" w:name="_Hlk119598056"/>
            <w:bookmarkEnd w:id="0"/>
            <w:r w:rsidRPr="00B56AD8">
              <w:rPr>
                <w:rFonts w:ascii="Arial" w:hAnsi="Arial" w:cs="Arial"/>
                <w:b/>
                <w:bCs/>
              </w:rPr>
              <w:t>Category/funding/restrictions:</w:t>
            </w:r>
            <w:r w:rsidRPr="00B56AD8">
              <w:rPr>
                <w:rFonts w:ascii="Arial" w:hAnsi="Arial" w:cs="Arial"/>
              </w:rPr>
              <w:t xml:space="preserve"> Permanent or Fixed Term. Cost code: Specified for the School or Business Unit.</w:t>
            </w:r>
          </w:p>
        </w:tc>
      </w:tr>
      <w:tr w:rsidR="0037723F" w:rsidRPr="00B56AD8" w14:paraId="221BF7CC" w14:textId="77777777" w:rsidTr="0037723F">
        <w:trPr>
          <w:trHeight w:val="1393"/>
        </w:trPr>
        <w:tc>
          <w:tcPr>
            <w:tcW w:w="9026" w:type="dxa"/>
            <w:vAlign w:val="center"/>
          </w:tcPr>
          <w:p w14:paraId="76AABD42" w14:textId="77777777" w:rsidR="0037723F" w:rsidRPr="00B56AD8" w:rsidRDefault="0037723F" w:rsidP="006D6A31">
            <w:pPr>
              <w:rPr>
                <w:rFonts w:ascii="Arial" w:hAnsi="Arial" w:cs="Arial"/>
                <w:b/>
              </w:rPr>
            </w:pPr>
            <w:r w:rsidRPr="00B56AD8">
              <w:rPr>
                <w:rFonts w:ascii="Arial" w:hAnsi="Arial" w:cs="Arial"/>
                <w:b/>
              </w:rPr>
              <w:t xml:space="preserve">HR Office use only: </w:t>
            </w:r>
          </w:p>
          <w:p w14:paraId="0F2B8D55" w14:textId="59E27179" w:rsidR="0037723F" w:rsidRPr="00B56AD8" w:rsidRDefault="0037723F" w:rsidP="006D6A31">
            <w:pPr>
              <w:tabs>
                <w:tab w:val="left" w:pos="180"/>
              </w:tabs>
              <w:rPr>
                <w:rFonts w:ascii="Arial" w:hAnsi="Arial" w:cs="Arial"/>
              </w:rPr>
            </w:pPr>
            <w:r w:rsidRPr="00B56AD8">
              <w:rPr>
                <w:rFonts w:ascii="Arial" w:hAnsi="Arial" w:cs="Arial"/>
                <w:b/>
              </w:rPr>
              <w:t xml:space="preserve">APPROVED BY HRM DELEGATE: </w:t>
            </w:r>
            <w:r w:rsidRPr="00B56AD8">
              <w:rPr>
                <w:rFonts w:ascii="Arial" w:hAnsi="Arial" w:cs="Arial"/>
              </w:rPr>
              <w:t xml:space="preserve">973874 – </w:t>
            </w:r>
            <w:r w:rsidR="008629B1" w:rsidRPr="00B56AD8">
              <w:rPr>
                <w:rFonts w:ascii="Arial" w:hAnsi="Arial" w:cs="Arial"/>
              </w:rPr>
              <w:t>Deputy</w:t>
            </w:r>
            <w:r w:rsidRPr="00B56AD8">
              <w:rPr>
                <w:rFonts w:ascii="Arial" w:hAnsi="Arial" w:cs="Arial"/>
              </w:rPr>
              <w:t xml:space="preserve"> Director Strategic Recruitment and Payroll Operations – DATE </w:t>
            </w:r>
          </w:p>
          <w:p w14:paraId="14D9AF34" w14:textId="77777777" w:rsidR="0037723F" w:rsidRPr="00B56AD8" w:rsidRDefault="0037723F" w:rsidP="006D6A31">
            <w:pPr>
              <w:tabs>
                <w:tab w:val="left" w:pos="180"/>
              </w:tabs>
              <w:rPr>
                <w:rFonts w:ascii="Arial" w:hAnsi="Arial" w:cs="Arial"/>
              </w:rPr>
            </w:pPr>
            <w:r w:rsidRPr="00B56AD8">
              <w:rPr>
                <w:rFonts w:ascii="Arial" w:hAnsi="Arial" w:cs="Arial"/>
              </w:rPr>
              <w:t xml:space="preserve">Request: </w:t>
            </w:r>
          </w:p>
          <w:p w14:paraId="7E230FA4" w14:textId="32278FD4" w:rsidR="0037723F" w:rsidRPr="00B56AD8" w:rsidRDefault="0037723F" w:rsidP="006D6A31">
            <w:pPr>
              <w:rPr>
                <w:rFonts w:ascii="Arial" w:hAnsi="Arial" w:cs="Arial"/>
                <w:sz w:val="16"/>
                <w:szCs w:val="16"/>
              </w:rPr>
            </w:pPr>
            <w:r w:rsidRPr="00B56AD8">
              <w:rPr>
                <w:rFonts w:ascii="Arial" w:hAnsi="Arial" w:cs="Arial"/>
              </w:rPr>
              <w:t xml:space="preserve">Date Duties and Selection Criteria Last Reviewed:  </w:t>
            </w:r>
            <w:r w:rsidR="00193981" w:rsidRPr="00B56AD8">
              <w:rPr>
                <w:rFonts w:ascii="Arial" w:hAnsi="Arial" w:cs="Arial"/>
              </w:rPr>
              <w:t>06/24 SW</w:t>
            </w:r>
          </w:p>
        </w:tc>
      </w:tr>
      <w:bookmarkEnd w:id="3"/>
    </w:tbl>
    <w:p w14:paraId="5870B67D" w14:textId="68E43A95" w:rsidR="0037723F" w:rsidRPr="00B56AD8" w:rsidRDefault="0037723F" w:rsidP="0037723F">
      <w:pPr>
        <w:tabs>
          <w:tab w:val="left" w:pos="180"/>
        </w:tabs>
        <w:spacing w:before="0"/>
        <w:rPr>
          <w:rFonts w:ascii="Arial" w:hAnsi="Arial" w:cs="Arial"/>
          <w:sz w:val="20"/>
        </w:rPr>
      </w:pPr>
    </w:p>
    <w:sectPr w:rsidR="0037723F" w:rsidRPr="00B56AD8"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989E" w14:textId="77777777" w:rsidR="00617111" w:rsidRDefault="00617111" w:rsidP="00E93B9E">
      <w:pPr>
        <w:spacing w:after="0"/>
      </w:pPr>
      <w:r>
        <w:separator/>
      </w:r>
    </w:p>
  </w:endnote>
  <w:endnote w:type="continuationSeparator" w:id="0">
    <w:p w14:paraId="29E890E4" w14:textId="77777777" w:rsidR="00617111" w:rsidRDefault="00617111"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58242"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9AA6" w14:textId="77777777" w:rsidR="00617111" w:rsidRDefault="00617111" w:rsidP="00E93B9E">
      <w:pPr>
        <w:spacing w:after="0"/>
      </w:pPr>
      <w:r>
        <w:separator/>
      </w:r>
    </w:p>
  </w:footnote>
  <w:footnote w:type="continuationSeparator" w:id="0">
    <w:p w14:paraId="3ED59E07" w14:textId="77777777" w:rsidR="00617111" w:rsidRDefault="00617111"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58243"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1"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0"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287C"/>
    <w:rsid w:val="00064CEF"/>
    <w:rsid w:val="0006642C"/>
    <w:rsid w:val="00070CE3"/>
    <w:rsid w:val="00082A0F"/>
    <w:rsid w:val="000953A7"/>
    <w:rsid w:val="000A0B42"/>
    <w:rsid w:val="000B2CD2"/>
    <w:rsid w:val="000C360B"/>
    <w:rsid w:val="000D24FC"/>
    <w:rsid w:val="000D4346"/>
    <w:rsid w:val="000D7B93"/>
    <w:rsid w:val="000E3179"/>
    <w:rsid w:val="000E3AF7"/>
    <w:rsid w:val="000F10FB"/>
    <w:rsid w:val="00102C39"/>
    <w:rsid w:val="001033DF"/>
    <w:rsid w:val="00112357"/>
    <w:rsid w:val="00116589"/>
    <w:rsid w:val="00121369"/>
    <w:rsid w:val="00131297"/>
    <w:rsid w:val="001360D0"/>
    <w:rsid w:val="00140B20"/>
    <w:rsid w:val="00141559"/>
    <w:rsid w:val="001421E9"/>
    <w:rsid w:val="00145F95"/>
    <w:rsid w:val="00153253"/>
    <w:rsid w:val="00155415"/>
    <w:rsid w:val="00156E6B"/>
    <w:rsid w:val="00176F7F"/>
    <w:rsid w:val="00180228"/>
    <w:rsid w:val="001870EB"/>
    <w:rsid w:val="001879E8"/>
    <w:rsid w:val="001906FA"/>
    <w:rsid w:val="00190B67"/>
    <w:rsid w:val="00193981"/>
    <w:rsid w:val="00197631"/>
    <w:rsid w:val="001A1165"/>
    <w:rsid w:val="001A4AC4"/>
    <w:rsid w:val="001A4EAE"/>
    <w:rsid w:val="001A6658"/>
    <w:rsid w:val="001D2DD4"/>
    <w:rsid w:val="001D4CC6"/>
    <w:rsid w:val="00202D0D"/>
    <w:rsid w:val="00202E3E"/>
    <w:rsid w:val="002036F5"/>
    <w:rsid w:val="00206DE5"/>
    <w:rsid w:val="0021036E"/>
    <w:rsid w:val="00224BDC"/>
    <w:rsid w:val="00232460"/>
    <w:rsid w:val="00232539"/>
    <w:rsid w:val="00243DF2"/>
    <w:rsid w:val="0026062E"/>
    <w:rsid w:val="0028795E"/>
    <w:rsid w:val="002900B1"/>
    <w:rsid w:val="002918A5"/>
    <w:rsid w:val="00291D7A"/>
    <w:rsid w:val="00293E64"/>
    <w:rsid w:val="002942F8"/>
    <w:rsid w:val="002A1F80"/>
    <w:rsid w:val="002B6301"/>
    <w:rsid w:val="002B786E"/>
    <w:rsid w:val="002C3A0D"/>
    <w:rsid w:val="002D16CD"/>
    <w:rsid w:val="002D2CAE"/>
    <w:rsid w:val="002E1B02"/>
    <w:rsid w:val="002F35BB"/>
    <w:rsid w:val="002F49C3"/>
    <w:rsid w:val="002F6671"/>
    <w:rsid w:val="003074D1"/>
    <w:rsid w:val="00307663"/>
    <w:rsid w:val="00307F78"/>
    <w:rsid w:val="00314E39"/>
    <w:rsid w:val="00323304"/>
    <w:rsid w:val="003271F5"/>
    <w:rsid w:val="00331C27"/>
    <w:rsid w:val="0033592B"/>
    <w:rsid w:val="00340C2F"/>
    <w:rsid w:val="00360CDB"/>
    <w:rsid w:val="00365591"/>
    <w:rsid w:val="00370004"/>
    <w:rsid w:val="00370327"/>
    <w:rsid w:val="0037723F"/>
    <w:rsid w:val="00381C1B"/>
    <w:rsid w:val="003A0A35"/>
    <w:rsid w:val="003A3F7E"/>
    <w:rsid w:val="003B009A"/>
    <w:rsid w:val="003B4A1A"/>
    <w:rsid w:val="003C15EB"/>
    <w:rsid w:val="003C748E"/>
    <w:rsid w:val="003D37E6"/>
    <w:rsid w:val="003E543A"/>
    <w:rsid w:val="003F48C4"/>
    <w:rsid w:val="003F78ED"/>
    <w:rsid w:val="0040340A"/>
    <w:rsid w:val="004226FB"/>
    <w:rsid w:val="004269CD"/>
    <w:rsid w:val="004455FA"/>
    <w:rsid w:val="00450C70"/>
    <w:rsid w:val="00454A22"/>
    <w:rsid w:val="004568CC"/>
    <w:rsid w:val="00467849"/>
    <w:rsid w:val="0047705C"/>
    <w:rsid w:val="00482F50"/>
    <w:rsid w:val="004B06B8"/>
    <w:rsid w:val="004B118F"/>
    <w:rsid w:val="004B1DF9"/>
    <w:rsid w:val="004C2944"/>
    <w:rsid w:val="004C2BAF"/>
    <w:rsid w:val="004C466D"/>
    <w:rsid w:val="004D0C42"/>
    <w:rsid w:val="004E5DAC"/>
    <w:rsid w:val="00501CCC"/>
    <w:rsid w:val="005071CC"/>
    <w:rsid w:val="00524D78"/>
    <w:rsid w:val="00534D87"/>
    <w:rsid w:val="00547D7C"/>
    <w:rsid w:val="00547F64"/>
    <w:rsid w:val="00561EC8"/>
    <w:rsid w:val="00575427"/>
    <w:rsid w:val="0057614B"/>
    <w:rsid w:val="005910A6"/>
    <w:rsid w:val="00591873"/>
    <w:rsid w:val="00592A8B"/>
    <w:rsid w:val="005A3E07"/>
    <w:rsid w:val="005C4D23"/>
    <w:rsid w:val="005C5066"/>
    <w:rsid w:val="005E1DFF"/>
    <w:rsid w:val="005E6AE3"/>
    <w:rsid w:val="005E6E3B"/>
    <w:rsid w:val="005E740F"/>
    <w:rsid w:val="005F266D"/>
    <w:rsid w:val="005F3B0F"/>
    <w:rsid w:val="005F466E"/>
    <w:rsid w:val="00611208"/>
    <w:rsid w:val="00616D82"/>
    <w:rsid w:val="00617111"/>
    <w:rsid w:val="006179AA"/>
    <w:rsid w:val="00621F36"/>
    <w:rsid w:val="0063295A"/>
    <w:rsid w:val="00632C3F"/>
    <w:rsid w:val="00633BE8"/>
    <w:rsid w:val="006373A0"/>
    <w:rsid w:val="0064499C"/>
    <w:rsid w:val="00644F9F"/>
    <w:rsid w:val="00653BB7"/>
    <w:rsid w:val="00660169"/>
    <w:rsid w:val="00687373"/>
    <w:rsid w:val="00691C79"/>
    <w:rsid w:val="00693485"/>
    <w:rsid w:val="00693E26"/>
    <w:rsid w:val="006A54A3"/>
    <w:rsid w:val="006B514D"/>
    <w:rsid w:val="006C2BD9"/>
    <w:rsid w:val="006D6DC6"/>
    <w:rsid w:val="006E080C"/>
    <w:rsid w:val="006E2041"/>
    <w:rsid w:val="006E4272"/>
    <w:rsid w:val="006E7DCB"/>
    <w:rsid w:val="006F1EC6"/>
    <w:rsid w:val="006F6682"/>
    <w:rsid w:val="00704EB7"/>
    <w:rsid w:val="007167C2"/>
    <w:rsid w:val="00720C66"/>
    <w:rsid w:val="00741DC5"/>
    <w:rsid w:val="007503DC"/>
    <w:rsid w:val="007607BF"/>
    <w:rsid w:val="00761157"/>
    <w:rsid w:val="0076288C"/>
    <w:rsid w:val="0076421B"/>
    <w:rsid w:val="00773185"/>
    <w:rsid w:val="00781F77"/>
    <w:rsid w:val="007A308D"/>
    <w:rsid w:val="007A4FF5"/>
    <w:rsid w:val="007A7845"/>
    <w:rsid w:val="007C08B4"/>
    <w:rsid w:val="007C3F49"/>
    <w:rsid w:val="007D0524"/>
    <w:rsid w:val="007D64D9"/>
    <w:rsid w:val="007E009D"/>
    <w:rsid w:val="007F0DA2"/>
    <w:rsid w:val="007F11D8"/>
    <w:rsid w:val="007F4A17"/>
    <w:rsid w:val="00805C7A"/>
    <w:rsid w:val="00807179"/>
    <w:rsid w:val="00815A91"/>
    <w:rsid w:val="0081635A"/>
    <w:rsid w:val="0082014A"/>
    <w:rsid w:val="00831B39"/>
    <w:rsid w:val="008433E6"/>
    <w:rsid w:val="00845E4A"/>
    <w:rsid w:val="00847537"/>
    <w:rsid w:val="00861B0A"/>
    <w:rsid w:val="008629B1"/>
    <w:rsid w:val="008835A5"/>
    <w:rsid w:val="0088748C"/>
    <w:rsid w:val="008A5084"/>
    <w:rsid w:val="008B02B9"/>
    <w:rsid w:val="008B2A57"/>
    <w:rsid w:val="008C097F"/>
    <w:rsid w:val="008C3B71"/>
    <w:rsid w:val="008C7207"/>
    <w:rsid w:val="008D20B5"/>
    <w:rsid w:val="008D3057"/>
    <w:rsid w:val="008D3A24"/>
    <w:rsid w:val="008E1563"/>
    <w:rsid w:val="008E185C"/>
    <w:rsid w:val="008F2E1D"/>
    <w:rsid w:val="009051AD"/>
    <w:rsid w:val="009119A6"/>
    <w:rsid w:val="00927F9C"/>
    <w:rsid w:val="0094083D"/>
    <w:rsid w:val="009456F9"/>
    <w:rsid w:val="009458E9"/>
    <w:rsid w:val="00954C08"/>
    <w:rsid w:val="00974C49"/>
    <w:rsid w:val="00984F64"/>
    <w:rsid w:val="00994BBC"/>
    <w:rsid w:val="009B2739"/>
    <w:rsid w:val="009B3564"/>
    <w:rsid w:val="009B41A2"/>
    <w:rsid w:val="009B487A"/>
    <w:rsid w:val="009B4D8E"/>
    <w:rsid w:val="009F2312"/>
    <w:rsid w:val="009F3771"/>
    <w:rsid w:val="009F792B"/>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20AD"/>
    <w:rsid w:val="00A8313E"/>
    <w:rsid w:val="00A864CB"/>
    <w:rsid w:val="00A940DC"/>
    <w:rsid w:val="00A94F50"/>
    <w:rsid w:val="00AC1E54"/>
    <w:rsid w:val="00AD79D7"/>
    <w:rsid w:val="00B02776"/>
    <w:rsid w:val="00B101A0"/>
    <w:rsid w:val="00B103A8"/>
    <w:rsid w:val="00B1083A"/>
    <w:rsid w:val="00B1141A"/>
    <w:rsid w:val="00B17AB6"/>
    <w:rsid w:val="00B2077F"/>
    <w:rsid w:val="00B233D7"/>
    <w:rsid w:val="00B41B36"/>
    <w:rsid w:val="00B44728"/>
    <w:rsid w:val="00B47B9D"/>
    <w:rsid w:val="00B509FF"/>
    <w:rsid w:val="00B5408C"/>
    <w:rsid w:val="00B55584"/>
    <w:rsid w:val="00B56AD8"/>
    <w:rsid w:val="00B56B2B"/>
    <w:rsid w:val="00B905CE"/>
    <w:rsid w:val="00B905E5"/>
    <w:rsid w:val="00B95B35"/>
    <w:rsid w:val="00BA316B"/>
    <w:rsid w:val="00BB5FDC"/>
    <w:rsid w:val="00BC3B94"/>
    <w:rsid w:val="00BC7B79"/>
    <w:rsid w:val="00BD518E"/>
    <w:rsid w:val="00C07D2B"/>
    <w:rsid w:val="00C1077D"/>
    <w:rsid w:val="00C20417"/>
    <w:rsid w:val="00C240C6"/>
    <w:rsid w:val="00C24404"/>
    <w:rsid w:val="00C27AC4"/>
    <w:rsid w:val="00C343B0"/>
    <w:rsid w:val="00C35E3F"/>
    <w:rsid w:val="00C443C3"/>
    <w:rsid w:val="00C47610"/>
    <w:rsid w:val="00C54AAB"/>
    <w:rsid w:val="00C54D91"/>
    <w:rsid w:val="00C56942"/>
    <w:rsid w:val="00C57F0E"/>
    <w:rsid w:val="00C637AE"/>
    <w:rsid w:val="00C643DE"/>
    <w:rsid w:val="00C80486"/>
    <w:rsid w:val="00C932EB"/>
    <w:rsid w:val="00C95906"/>
    <w:rsid w:val="00C96E08"/>
    <w:rsid w:val="00CA664C"/>
    <w:rsid w:val="00CB1318"/>
    <w:rsid w:val="00CB2562"/>
    <w:rsid w:val="00CC531A"/>
    <w:rsid w:val="00CD4C92"/>
    <w:rsid w:val="00CE5E8E"/>
    <w:rsid w:val="00CF1882"/>
    <w:rsid w:val="00CF3212"/>
    <w:rsid w:val="00D00E93"/>
    <w:rsid w:val="00D02C1D"/>
    <w:rsid w:val="00D105B8"/>
    <w:rsid w:val="00D13896"/>
    <w:rsid w:val="00D13CF6"/>
    <w:rsid w:val="00D25425"/>
    <w:rsid w:val="00D36343"/>
    <w:rsid w:val="00D36BB2"/>
    <w:rsid w:val="00D402A1"/>
    <w:rsid w:val="00D44F0C"/>
    <w:rsid w:val="00D45A4A"/>
    <w:rsid w:val="00D51ED6"/>
    <w:rsid w:val="00D55E83"/>
    <w:rsid w:val="00D567E7"/>
    <w:rsid w:val="00D64264"/>
    <w:rsid w:val="00D648E6"/>
    <w:rsid w:val="00D71A2D"/>
    <w:rsid w:val="00D72617"/>
    <w:rsid w:val="00D74508"/>
    <w:rsid w:val="00D86B5D"/>
    <w:rsid w:val="00D8766F"/>
    <w:rsid w:val="00D87E42"/>
    <w:rsid w:val="00DA255F"/>
    <w:rsid w:val="00DA7C19"/>
    <w:rsid w:val="00DC2532"/>
    <w:rsid w:val="00DC5932"/>
    <w:rsid w:val="00DD0B41"/>
    <w:rsid w:val="00DE1EB7"/>
    <w:rsid w:val="00DE6C09"/>
    <w:rsid w:val="00DF49F3"/>
    <w:rsid w:val="00E03F4F"/>
    <w:rsid w:val="00E07412"/>
    <w:rsid w:val="00E13473"/>
    <w:rsid w:val="00E231AC"/>
    <w:rsid w:val="00E23E02"/>
    <w:rsid w:val="00E432FB"/>
    <w:rsid w:val="00E569C0"/>
    <w:rsid w:val="00E57648"/>
    <w:rsid w:val="00E60A6F"/>
    <w:rsid w:val="00E61F69"/>
    <w:rsid w:val="00E7721D"/>
    <w:rsid w:val="00E92ECE"/>
    <w:rsid w:val="00E93B9E"/>
    <w:rsid w:val="00EA0653"/>
    <w:rsid w:val="00EA3B12"/>
    <w:rsid w:val="00EB3EAF"/>
    <w:rsid w:val="00EB3F3D"/>
    <w:rsid w:val="00EC7194"/>
    <w:rsid w:val="00EC76DC"/>
    <w:rsid w:val="00EE3024"/>
    <w:rsid w:val="00EE4FD3"/>
    <w:rsid w:val="00EE7041"/>
    <w:rsid w:val="00EF249E"/>
    <w:rsid w:val="00EF25F6"/>
    <w:rsid w:val="00EF59EA"/>
    <w:rsid w:val="00F3584E"/>
    <w:rsid w:val="00F40B04"/>
    <w:rsid w:val="00F45309"/>
    <w:rsid w:val="00F470F1"/>
    <w:rsid w:val="00F50874"/>
    <w:rsid w:val="00F508AB"/>
    <w:rsid w:val="00F82036"/>
    <w:rsid w:val="00F83C5A"/>
    <w:rsid w:val="00F90501"/>
    <w:rsid w:val="00F94FE9"/>
    <w:rsid w:val="00F9547D"/>
    <w:rsid w:val="00FA369D"/>
    <w:rsid w:val="00FB3D40"/>
    <w:rsid w:val="00FC4A65"/>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631"/>
    <w:rPr>
      <w:rFonts w:ascii="Gill Sans MT" w:hAnsi="Gill Sans MT"/>
      <w:spacing w:val="-2"/>
      <w:sz w:val="22"/>
      <w:szCs w:val="22"/>
      <w:lang w:eastAsia="en-US"/>
    </w:rPr>
  </w:style>
  <w:style w:type="paragraph" w:styleId="CommentSubject">
    <w:name w:val="annotation subject"/>
    <w:basedOn w:val="CommentText"/>
    <w:next w:val="CommentText"/>
    <w:link w:val="CommentSubjectChar"/>
    <w:uiPriority w:val="99"/>
    <w:semiHidden/>
    <w:unhideWhenUsed/>
    <w:rsid w:val="00450C70"/>
    <w:pPr>
      <w:spacing w:before="120" w:after="120"/>
    </w:pPr>
    <w:rPr>
      <w:rFonts w:ascii="Gill Sans MT" w:eastAsia="Gill Sans MT Std Light" w:hAnsi="Gill Sans MT" w:cs="Times New Roman"/>
      <w:b/>
      <w:bCs/>
      <w:spacing w:val="-2"/>
    </w:rPr>
  </w:style>
  <w:style w:type="character" w:customStyle="1" w:styleId="CommentSubjectChar">
    <w:name w:val="Comment Subject Char"/>
    <w:basedOn w:val="CommentTextChar"/>
    <w:link w:val="CommentSubject"/>
    <w:uiPriority w:val="99"/>
    <w:semiHidden/>
    <w:rsid w:val="00450C70"/>
    <w:rPr>
      <w:rFonts w:ascii="Gill Sans MT" w:eastAsiaTheme="minorHAnsi" w:hAnsi="Gill Sans MT" w:cstheme="minorBidi"/>
      <w:b/>
      <w:bC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D7B93"/>
    <w:rsid w:val="0011468F"/>
    <w:rsid w:val="001421E9"/>
    <w:rsid w:val="00202D0D"/>
    <w:rsid w:val="0033313F"/>
    <w:rsid w:val="006F0A69"/>
    <w:rsid w:val="007343F7"/>
    <w:rsid w:val="00741DC5"/>
    <w:rsid w:val="007F1918"/>
    <w:rsid w:val="009243E4"/>
    <w:rsid w:val="00A820AD"/>
    <w:rsid w:val="00B74F1B"/>
    <w:rsid w:val="00F62C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35B3EB5CF3B41895CF7A043C80CC1" ma:contentTypeVersion="4" ma:contentTypeDescription="Create a new document." ma:contentTypeScope="" ma:versionID="86dfdc280c9446386deed7661775cf80">
  <xsd:schema xmlns:xsd="http://www.w3.org/2001/XMLSchema" xmlns:xs="http://www.w3.org/2001/XMLSchema" xmlns:p="http://schemas.microsoft.com/office/2006/metadata/properties" xmlns:ns2="bf69c7be-b52a-484c-81fc-b7f90c8ed511" targetNamespace="http://schemas.microsoft.com/office/2006/metadata/properties" ma:root="true" ma:fieldsID="a7e58716c3243dc587197b26bebb2970" ns2:_="">
    <xsd:import namespace="bf69c7be-b52a-484c-81fc-b7f90c8ed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9c7be-b52a-484c-81fc-b7f90c8e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2.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3.xml><?xml version="1.0" encoding="utf-8"?>
<ds:datastoreItem xmlns:ds="http://schemas.openxmlformats.org/officeDocument/2006/customXml" ds:itemID="{B8030656-EFCE-46DC-B91E-46E03FF1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9c7be-b52a-484c-81fc-b7f90c8e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2082</Words>
  <Characters>11913</Characters>
  <Application>Microsoft Office Word</Application>
  <DocSecurity>4</DocSecurity>
  <Lines>229</Lines>
  <Paragraphs>133</Paragraphs>
  <ScaleCrop>false</ScaleCrop>
  <HeadingPairs>
    <vt:vector size="2" baseType="variant">
      <vt:variant>
        <vt:lpstr>Title</vt:lpstr>
      </vt:variant>
      <vt:variant>
        <vt:i4>1</vt:i4>
      </vt:variant>
    </vt:vector>
  </HeadingPairs>
  <TitlesOfParts>
    <vt:vector size="1" baseType="lpstr">
      <vt:lpstr>Principal</vt:lpstr>
    </vt:vector>
  </TitlesOfParts>
  <Company>Department of Education</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dc:title>
  <dc:subject/>
  <dc:creator>Dinnessen, Cameron</dc:creator>
  <cp:keywords/>
  <dc:description/>
  <cp:lastModifiedBy>Knott, Penny</cp:lastModifiedBy>
  <cp:revision>2</cp:revision>
  <cp:lastPrinted>2026-02-06T03:14:00Z</cp:lastPrinted>
  <dcterms:created xsi:type="dcterms:W3CDTF">2026-02-06T04:53:00Z</dcterms:created>
  <dcterms:modified xsi:type="dcterms:W3CDTF">2026-02-06T04:53:00Z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0x010100E6135B3EB5CF3B41895CF7A043C80CC1</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