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9DD5180B4944C3B8BB427D7654A2051"/>
        </w:placeholder>
        <w:dataBinding w:prefixMappings="xmlns:ns0='http://purl.org/dc/elements/1.1/' xmlns:ns1='http://schemas.openxmlformats.org/package/2006/metadata/core-properties' " w:xpath="/ns1:coreProperties[1]/ns0:title[1]" w:storeItemID="{6C3C8BC8-F283-45AE-878A-BAB7291924A1}"/>
        <w:text/>
      </w:sdtPr>
      <w:sdtEndPr/>
      <w:sdtContent>
        <w:p w14:paraId="5CC88854" w14:textId="10110084" w:rsidR="009D6E8A" w:rsidRPr="00274CC1" w:rsidRDefault="00DE7667" w:rsidP="00F87871">
          <w:pPr>
            <w:pStyle w:val="Title"/>
            <w:spacing w:after="120" w:line="288" w:lineRule="auto"/>
            <w:contextualSpacing w:val="0"/>
            <w:jc w:val="both"/>
            <w:rPr>
              <w:color w:val="001947" w:themeColor="accent6"/>
              <w:sz w:val="48"/>
              <w:szCs w:val="48"/>
            </w:rPr>
          </w:pPr>
          <w:r>
            <w:rPr>
              <w:color w:val="001947" w:themeColor="accent6"/>
              <w:sz w:val="48"/>
              <w:szCs w:val="48"/>
            </w:rPr>
            <w:t>Assessment Program Coordinator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00FB53F8" w:rsidR="009D6E8A" w:rsidRPr="0057614B" w:rsidRDefault="000C3A75" w:rsidP="00F87871">
            <w:pPr>
              <w:spacing w:after="120"/>
              <w:jc w:val="right"/>
              <w:rPr>
                <w:sz w:val="28"/>
                <w:szCs w:val="28"/>
              </w:rPr>
            </w:pPr>
            <w:r>
              <w:rPr>
                <w:color w:val="001947" w:themeColor="accent6"/>
                <w:sz w:val="28"/>
                <w:szCs w:val="28"/>
              </w:rPr>
              <w:t>February</w:t>
            </w:r>
            <w:r w:rsidR="004D21DB">
              <w:rPr>
                <w:color w:val="001947" w:themeColor="accent6"/>
                <w:sz w:val="28"/>
                <w:szCs w:val="28"/>
              </w:rPr>
              <w:t xml:space="preserve"> 2026</w:t>
            </w:r>
          </w:p>
        </w:tc>
      </w:tr>
      <w:tr w:rsidR="00D2771F" w14:paraId="3A1465F7" w14:textId="77777777" w:rsidTr="00D2771F">
        <w:trPr>
          <w:trHeight w:val="385"/>
        </w:trPr>
        <w:tc>
          <w:tcPr>
            <w:tcW w:w="3152" w:type="dxa"/>
          </w:tcPr>
          <w:p w14:paraId="63249247"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02B9FB6C" w:rsidR="00D2771F" w:rsidRPr="00BF7FC7" w:rsidRDefault="009E780C" w:rsidP="00F87871">
            <w:pPr>
              <w:pStyle w:val="TableBodyText"/>
              <w:spacing w:after="120" w:line="240" w:lineRule="auto"/>
              <w:jc w:val="both"/>
              <w:rPr>
                <w:sz w:val="24"/>
                <w:szCs w:val="24"/>
              </w:rPr>
            </w:pPr>
            <w:r w:rsidRPr="009E780C">
              <w:rPr>
                <w:rFonts w:eastAsia="Times New Roman" w:cs="Arial"/>
                <w:bCs/>
                <w:sz w:val="24"/>
                <w:szCs w:val="24"/>
              </w:rPr>
              <w:t>980456</w:t>
            </w:r>
          </w:p>
        </w:tc>
      </w:tr>
      <w:tr w:rsidR="00D2771F" w14:paraId="1A71AB9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6D3B800E" w:rsidR="00D2771F" w:rsidRPr="000C3A75" w:rsidRDefault="009E780C"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C57301" w:rsidRPr="000C3A75">
                  <w:rPr>
                    <w:sz w:val="24"/>
                    <w:szCs w:val="24"/>
                  </w:rPr>
                  <w:t>Office of the Secretary</w:t>
                </w:r>
              </w:sdtContent>
            </w:sdt>
          </w:p>
        </w:tc>
      </w:tr>
      <w:tr w:rsidR="00D2771F" w14:paraId="1DF7D318" w14:textId="77777777" w:rsidTr="00D2771F">
        <w:trPr>
          <w:trHeight w:val="385"/>
        </w:trPr>
        <w:tc>
          <w:tcPr>
            <w:tcW w:w="3152" w:type="dxa"/>
          </w:tcPr>
          <w:p w14:paraId="15D0E573"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48CB60F1" w:rsidR="00D2771F" w:rsidRPr="000C3A75" w:rsidRDefault="00C57301" w:rsidP="00F87871">
            <w:pPr>
              <w:pStyle w:val="TableBodyText"/>
              <w:spacing w:after="120" w:line="240" w:lineRule="auto"/>
              <w:jc w:val="both"/>
              <w:rPr>
                <w:sz w:val="24"/>
                <w:szCs w:val="24"/>
              </w:rPr>
            </w:pPr>
            <w:r w:rsidRPr="003D2354">
              <w:rPr>
                <w:rFonts w:eastAsia="Times New Roman" w:cs="Arial"/>
                <w:bCs/>
                <w:sz w:val="24"/>
                <w:szCs w:val="24"/>
              </w:rPr>
              <w:t>Education Regulation</w:t>
            </w:r>
          </w:p>
        </w:tc>
      </w:tr>
      <w:tr w:rsidR="00D2771F" w14:paraId="552F313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0A7CBCF2" w:rsidR="00D2771F" w:rsidRPr="000C3A75" w:rsidRDefault="00C57301" w:rsidP="00F87871">
            <w:pPr>
              <w:pStyle w:val="TableBodyText"/>
              <w:spacing w:after="120" w:line="240" w:lineRule="auto"/>
              <w:jc w:val="both"/>
              <w:rPr>
                <w:sz w:val="24"/>
                <w:szCs w:val="24"/>
              </w:rPr>
            </w:pPr>
            <w:r w:rsidRPr="003D2354">
              <w:rPr>
                <w:rFonts w:eastAsia="Times New Roman" w:cs="Arial"/>
                <w:bCs/>
                <w:sz w:val="24"/>
                <w:szCs w:val="24"/>
              </w:rPr>
              <w:t>Tasmanian Assessment, Standards and Certification (TASC)</w:t>
            </w:r>
          </w:p>
        </w:tc>
      </w:tr>
      <w:tr w:rsidR="00D2771F" w14:paraId="5BAB22F9" w14:textId="77777777" w:rsidTr="00D2771F">
        <w:trPr>
          <w:trHeight w:val="362"/>
        </w:trPr>
        <w:tc>
          <w:tcPr>
            <w:tcW w:w="3152" w:type="dxa"/>
          </w:tcPr>
          <w:p w14:paraId="0E7F86CA"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709E8A44" w:rsidR="00D2771F" w:rsidRPr="000C3A75" w:rsidRDefault="00C57301" w:rsidP="00F87871">
            <w:pPr>
              <w:pStyle w:val="TableBodyText"/>
              <w:spacing w:after="120" w:line="240" w:lineRule="auto"/>
              <w:jc w:val="both"/>
              <w:rPr>
                <w:sz w:val="24"/>
                <w:szCs w:val="24"/>
              </w:rPr>
            </w:pPr>
            <w:r w:rsidRPr="003D2354">
              <w:rPr>
                <w:rFonts w:eastAsia="Times New Roman" w:cs="Arial"/>
                <w:bCs/>
                <w:sz w:val="24"/>
                <w:szCs w:val="24"/>
              </w:rPr>
              <w:t>Lead – Assessment Program</w:t>
            </w:r>
          </w:p>
        </w:tc>
      </w:tr>
      <w:tr w:rsidR="00984C70" w14:paraId="213703D6"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78B8E5CE"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r w:rsidR="00215CEC">
              <w:rPr>
                <w:sz w:val="24"/>
                <w:szCs w:val="24"/>
              </w:rPr>
              <w:t>/Agreement</w:t>
            </w:r>
          </w:p>
        </w:tc>
        <w:tc>
          <w:tcPr>
            <w:tcW w:w="6540" w:type="dxa"/>
            <w:gridSpan w:val="2"/>
          </w:tcPr>
          <w:sdt>
            <w:sdtPr>
              <w:rPr>
                <w:rFonts w:eastAsia="Times New Roman" w:cs="Arial"/>
                <w:bCs/>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208ECC0E" w14:textId="049E8BB5" w:rsidR="00984C70" w:rsidRPr="003D2354" w:rsidRDefault="00215CEC" w:rsidP="00F87871">
                <w:pPr>
                  <w:pStyle w:val="TableBodyText"/>
                  <w:spacing w:after="120" w:line="240" w:lineRule="auto"/>
                  <w:jc w:val="both"/>
                  <w:rPr>
                    <w:rFonts w:eastAsia="Times New Roman" w:cs="Arial"/>
                    <w:bCs/>
                    <w:sz w:val="24"/>
                    <w:szCs w:val="24"/>
                  </w:rPr>
                </w:pPr>
                <w:r w:rsidRPr="003D2354">
                  <w:rPr>
                    <w:rFonts w:eastAsia="Times New Roman" w:cs="Arial"/>
                    <w:bCs/>
                    <w:sz w:val="24"/>
                    <w:szCs w:val="24"/>
                  </w:rPr>
                  <w:t>Tasmanian State Service Award</w:t>
                </w:r>
              </w:p>
            </w:sdtContent>
          </w:sdt>
        </w:tc>
      </w:tr>
      <w:tr w:rsidR="00984C70" w14:paraId="01225039" w14:textId="77777777" w:rsidTr="00D2771F">
        <w:trPr>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036DD1EC" w:rsidR="00984C70" w:rsidRPr="000C3A75" w:rsidRDefault="00215CEC" w:rsidP="00F87871">
            <w:pPr>
              <w:pStyle w:val="TableBodyText"/>
              <w:spacing w:after="120" w:line="240" w:lineRule="auto"/>
              <w:jc w:val="both"/>
              <w:rPr>
                <w:sz w:val="24"/>
                <w:szCs w:val="24"/>
              </w:rPr>
            </w:pPr>
            <w:r w:rsidRPr="003D2354">
              <w:rPr>
                <w:rFonts w:eastAsia="Times New Roman" w:cs="Arial"/>
                <w:bCs/>
                <w:sz w:val="24"/>
                <w:szCs w:val="24"/>
              </w:rPr>
              <w:t>General Stream Band 6</w:t>
            </w:r>
          </w:p>
        </w:tc>
      </w:tr>
      <w:tr w:rsidR="00984C70" w14:paraId="1938CD62"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2E865E93" w:rsidR="00984C70" w:rsidRPr="000C3A75" w:rsidRDefault="009E780C"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CF1BBA" w:rsidRPr="000C3A75">
                  <w:rPr>
                    <w:rStyle w:val="PlaceholderText"/>
                    <w:color w:val="auto"/>
                    <w:sz w:val="24"/>
                    <w:szCs w:val="24"/>
                  </w:rPr>
                  <w:t>Fixed-term, Full-time</w:t>
                </w:r>
              </w:sdtContent>
            </w:sdt>
          </w:p>
          <w:p w14:paraId="1B760209" w14:textId="44D0F642" w:rsidR="00984C70" w:rsidRPr="003D2354" w:rsidRDefault="00DD37E6" w:rsidP="00F87871">
            <w:pPr>
              <w:spacing w:after="120" w:line="240" w:lineRule="auto"/>
              <w:jc w:val="both"/>
              <w:rPr>
                <w:rFonts w:eastAsia="Times New Roman" w:cs="Arial"/>
                <w:sz w:val="24"/>
                <w:szCs w:val="24"/>
              </w:rPr>
            </w:pPr>
            <w:r w:rsidRPr="003D2354">
              <w:rPr>
                <w:rFonts w:eastAsia="Times New Roman" w:cs="Arial"/>
                <w:bCs/>
                <w:sz w:val="24"/>
                <w:szCs w:val="24"/>
              </w:rPr>
              <w:t xml:space="preserve">73.5 hours per fortnight, 52 weeks per year including </w:t>
            </w:r>
            <w:r w:rsidR="000C3A75" w:rsidRPr="003D2354">
              <w:rPr>
                <w:rFonts w:eastAsia="Times New Roman" w:cs="Arial"/>
                <w:bCs/>
                <w:sz w:val="24"/>
                <w:szCs w:val="24"/>
              </w:rPr>
              <w:t>four</w:t>
            </w:r>
            <w:r w:rsidRPr="003D2354">
              <w:rPr>
                <w:rFonts w:eastAsia="Times New Roman" w:cs="Arial"/>
                <w:bCs/>
                <w:sz w:val="24"/>
                <w:szCs w:val="24"/>
              </w:rPr>
              <w:t xml:space="preserve"> weeks annual leave</w:t>
            </w:r>
          </w:p>
        </w:tc>
      </w:tr>
      <w:tr w:rsidR="00984C70" w14:paraId="154E0BB6" w14:textId="77777777" w:rsidTr="00D2771F">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28C8D415" w:rsidR="00984C70" w:rsidRPr="000C3A75" w:rsidRDefault="009E780C" w:rsidP="00F87871">
            <w:pPr>
              <w:pStyle w:val="TableBodyText"/>
              <w:spacing w:after="120" w:line="240" w:lineRule="auto"/>
              <w:jc w:val="both"/>
              <w:rPr>
                <w:sz w:val="24"/>
                <w:szCs w:val="24"/>
              </w:rPr>
            </w:pPr>
            <w:sdt>
              <w:sdtPr>
                <w:rPr>
                  <w:rFonts w:eastAsia="Times New Roman"/>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DD37E6" w:rsidRPr="003D2354">
                  <w:rPr>
                    <w:rFonts w:eastAsia="Times New Roman"/>
                    <w:sz w:val="24"/>
                    <w:szCs w:val="24"/>
                  </w:rPr>
                  <w:t>South</w:t>
                </w:r>
              </w:sdtContent>
            </w:sdt>
            <w:r w:rsidR="00984C70" w:rsidRPr="003D2354">
              <w:rPr>
                <w:rFonts w:eastAsia="Times New Roman"/>
                <w:sz w:val="24"/>
                <w:szCs w:val="24"/>
              </w:rPr>
              <w:t xml:space="preserve"> </w:t>
            </w:r>
          </w:p>
        </w:tc>
      </w:tr>
    </w:tbl>
    <w:p w14:paraId="386F530F" w14:textId="77777777" w:rsidR="00D2771F" w:rsidRDefault="00D2771F" w:rsidP="00F87871">
      <w:pPr>
        <w:pStyle w:val="Heading2"/>
        <w:spacing w:line="288" w:lineRule="auto"/>
        <w:jc w:val="both"/>
      </w:pPr>
      <w:r>
        <w:t>Context</w:t>
      </w:r>
    </w:p>
    <w:p w14:paraId="53F22A95" w14:textId="08C3B806" w:rsidR="00FC07A1" w:rsidRPr="003D2354" w:rsidRDefault="00FC07A1" w:rsidP="00FC07A1">
      <w:pPr>
        <w:jc w:val="both"/>
        <w:rPr>
          <w:rFonts w:eastAsia="Times New Roman"/>
          <w:sz w:val="24"/>
          <w:szCs w:val="24"/>
        </w:rPr>
      </w:pPr>
      <w:r w:rsidRPr="003D2354">
        <w:rPr>
          <w:rFonts w:eastAsia="Times New Roman"/>
          <w:sz w:val="24"/>
          <w:szCs w:val="24"/>
        </w:rPr>
        <w:t xml:space="preserve">Tasmanian Assessment, Standards and Certification (TASC) is an independent education regulator governed by the </w:t>
      </w:r>
      <w:hyperlink r:id="rId12" w:history="1">
        <w:r w:rsidRPr="003D2354">
          <w:rPr>
            <w:rFonts w:eastAsia="Times New Roman"/>
            <w:sz w:val="24"/>
            <w:szCs w:val="24"/>
          </w:rPr>
          <w:t>TASC Board</w:t>
        </w:r>
      </w:hyperlink>
      <w:r w:rsidRPr="003D2354">
        <w:rPr>
          <w:rFonts w:eastAsia="Times New Roman"/>
          <w:sz w:val="24"/>
          <w:szCs w:val="24"/>
        </w:rPr>
        <w:t xml:space="preserve"> and responsible to the Tasmanian Minister for Education. TASC is responsible for the development of appropriate standards, the accreditation of courses, and the assessment and certification of student achievement in senior secondary schooling across all educational sectors in Tasmania.</w:t>
      </w:r>
    </w:p>
    <w:p w14:paraId="195DEF8A" w14:textId="77777777" w:rsidR="009D6E8A" w:rsidRPr="00190B67" w:rsidRDefault="009D6E8A" w:rsidP="00F87871">
      <w:pPr>
        <w:pStyle w:val="Heading2"/>
        <w:spacing w:line="288" w:lineRule="auto"/>
        <w:jc w:val="both"/>
      </w:pPr>
      <w:r w:rsidRPr="00190B67">
        <w:t>Primary Purpose</w:t>
      </w:r>
    </w:p>
    <w:p w14:paraId="43BB52E1" w14:textId="2006E9CF" w:rsidR="00D2771F" w:rsidRPr="003D2354" w:rsidRDefault="00C05D41" w:rsidP="00F87871">
      <w:pPr>
        <w:jc w:val="both"/>
        <w:rPr>
          <w:rFonts w:eastAsia="Times New Roman" w:cs="Arial"/>
          <w:sz w:val="24"/>
          <w:szCs w:val="24"/>
        </w:rPr>
      </w:pPr>
      <w:r w:rsidRPr="003D2354">
        <w:rPr>
          <w:rFonts w:eastAsia="Times New Roman" w:cs="Arial"/>
          <w:sz w:val="24"/>
          <w:szCs w:val="24"/>
        </w:rPr>
        <w:t>The role provides operational leadership to assessment program staff and contributes to procedural improvement</w:t>
      </w:r>
      <w:r w:rsidR="00613423" w:rsidRPr="003D2354">
        <w:rPr>
          <w:rFonts w:eastAsia="Times New Roman" w:cs="Arial"/>
          <w:sz w:val="24"/>
          <w:szCs w:val="24"/>
        </w:rPr>
        <w:t>, capability development and stakeholder communication to support the effective and consistent delivery of external assessments across Tasmania.</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0D2B2331" w14:textId="23B70D90" w:rsidR="00D2771F" w:rsidRPr="003D2354" w:rsidRDefault="009E45D2" w:rsidP="00F87871">
      <w:pPr>
        <w:jc w:val="both"/>
        <w:rPr>
          <w:rFonts w:eastAsia="Times New Roman"/>
          <w:sz w:val="24"/>
          <w:szCs w:val="20"/>
        </w:rPr>
      </w:pPr>
      <w:bookmarkStart w:id="1" w:name="_Hlk127543251"/>
      <w:r w:rsidRPr="003D2354">
        <w:rPr>
          <w:rFonts w:eastAsia="Times New Roman"/>
          <w:sz w:val="24"/>
          <w:szCs w:val="20"/>
        </w:rPr>
        <w:t>The role provides operational leadership within the Assessment team and is responsible for coordinating the day</w:t>
      </w:r>
      <w:r w:rsidR="00161417" w:rsidRPr="003D2354">
        <w:rPr>
          <w:rFonts w:eastAsia="Times New Roman"/>
          <w:sz w:val="24"/>
          <w:szCs w:val="20"/>
        </w:rPr>
        <w:t xml:space="preserve">-to-day delivery of the external assessment program. The occupant </w:t>
      </w:r>
      <w:r w:rsidR="00161417" w:rsidRPr="003D2354">
        <w:rPr>
          <w:rFonts w:eastAsia="Times New Roman"/>
          <w:sz w:val="24"/>
          <w:szCs w:val="20"/>
        </w:rPr>
        <w:lastRenderedPageBreak/>
        <w:t>leads the workflow, priorities and oversight of assessment program staff who support the coordination of sessional and casual staff involved in external assessment activities.</w:t>
      </w:r>
    </w:p>
    <w:p w14:paraId="228309B0" w14:textId="492EF1CF" w:rsidR="00DA7623" w:rsidRPr="003D2354" w:rsidRDefault="00161417" w:rsidP="00F87871">
      <w:pPr>
        <w:jc w:val="both"/>
        <w:rPr>
          <w:rFonts w:eastAsia="Times New Roman"/>
          <w:sz w:val="24"/>
          <w:szCs w:val="20"/>
        </w:rPr>
      </w:pPr>
      <w:r w:rsidRPr="003D2354">
        <w:rPr>
          <w:rFonts w:eastAsia="Times New Roman"/>
          <w:sz w:val="24"/>
          <w:szCs w:val="20"/>
        </w:rPr>
        <w:t>The role works under the broad direction of the Lead – Assessment Program and is expected to exercise initiative, sound judgement and problem-solving capabilities within established policies</w:t>
      </w:r>
      <w:r w:rsidR="00131CAE" w:rsidRPr="003D2354">
        <w:rPr>
          <w:rFonts w:eastAsia="Times New Roman"/>
          <w:sz w:val="24"/>
          <w:szCs w:val="20"/>
        </w:rPr>
        <w:t xml:space="preserve">, </w:t>
      </w:r>
      <w:r w:rsidRPr="003D2354">
        <w:rPr>
          <w:rFonts w:eastAsia="Times New Roman"/>
          <w:sz w:val="24"/>
          <w:szCs w:val="20"/>
        </w:rPr>
        <w:t>procedures</w:t>
      </w:r>
      <w:r w:rsidR="00131CAE" w:rsidRPr="003D2354">
        <w:rPr>
          <w:rFonts w:eastAsia="Times New Roman"/>
          <w:sz w:val="24"/>
          <w:szCs w:val="20"/>
        </w:rPr>
        <w:t xml:space="preserve"> and delegated responsibilities. The role provides escalation support and contributes to recruitment processes, capability development and continuous improvement activities to ensure effi</w:t>
      </w:r>
      <w:r w:rsidR="00DA7623" w:rsidRPr="003D2354">
        <w:rPr>
          <w:rFonts w:eastAsia="Times New Roman"/>
          <w:sz w:val="24"/>
          <w:szCs w:val="20"/>
        </w:rPr>
        <w:t>cient, consistent and high-quality operational delivery.</w:t>
      </w:r>
    </w:p>
    <w:p w14:paraId="35A8E722"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026F57EC" w14:textId="0AE18CF9" w:rsidR="00D2771F" w:rsidRPr="000B2CD2" w:rsidRDefault="00D2771F" w:rsidP="00820B52">
      <w:pPr>
        <w:jc w:val="both"/>
        <w:rPr>
          <w:sz w:val="24"/>
          <w:szCs w:val="24"/>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F1624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48CAA1E" w14:textId="243B560B" w:rsidR="00D2771F" w:rsidRPr="000B2CD2" w:rsidRDefault="00820B52"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Provide accurate and timely operational information and advice to students, teachers, parents and stakeholders regarding the external assessment program, including</w:t>
      </w:r>
      <w:r w:rsidR="00AD613E">
        <w:rPr>
          <w:sz w:val="24"/>
          <w:szCs w:val="24"/>
        </w:rPr>
        <w:t xml:space="preserve"> practical guidance on reasonable adjustment</w:t>
      </w:r>
      <w:r w:rsidR="00DA7DF0">
        <w:rPr>
          <w:sz w:val="24"/>
          <w:szCs w:val="24"/>
        </w:rPr>
        <w:t xml:space="preserve"> implementation and operational requirements.</w:t>
      </w:r>
    </w:p>
    <w:p w14:paraId="2366E8EA" w14:textId="74DE3AC5" w:rsidR="00D2771F" w:rsidRPr="000B2CD2" w:rsidRDefault="00DA7DF0"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Coordinate the day-to-day delivery of the external assessment program, including the preparation, scheduling and logistics of external assessment processes</w:t>
      </w:r>
      <w:r w:rsidR="00796B75">
        <w:rPr>
          <w:sz w:val="24"/>
          <w:szCs w:val="24"/>
        </w:rPr>
        <w:t>.</w:t>
      </w:r>
    </w:p>
    <w:p w14:paraId="3E022354" w14:textId="2D62B586" w:rsidR="00D2771F" w:rsidRPr="000B2CD2" w:rsidRDefault="00932781"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Coordinate the administration and documentation of reasonable adjustments for external assessments, ensuring accurate communication with stakeholders, correct implementation</w:t>
      </w:r>
      <w:r w:rsidR="006D4801">
        <w:rPr>
          <w:sz w:val="24"/>
          <w:szCs w:val="24"/>
        </w:rPr>
        <w:t xml:space="preserve"> at exam centres, </w:t>
      </w:r>
      <w:r w:rsidR="006D4801" w:rsidRPr="00C50AF9">
        <w:rPr>
          <w:sz w:val="24"/>
          <w:szCs w:val="24"/>
        </w:rPr>
        <w:t>and escalation</w:t>
      </w:r>
      <w:r w:rsidR="00E80F0E" w:rsidRPr="00C50AF9">
        <w:rPr>
          <w:sz w:val="24"/>
          <w:szCs w:val="24"/>
        </w:rPr>
        <w:t xml:space="preserve"> </w:t>
      </w:r>
      <w:r w:rsidR="006D4801" w:rsidRPr="00C50AF9">
        <w:rPr>
          <w:sz w:val="24"/>
          <w:szCs w:val="24"/>
        </w:rPr>
        <w:t>of complex or non-standard</w:t>
      </w:r>
      <w:r w:rsidR="00B759FB" w:rsidRPr="00C50AF9">
        <w:rPr>
          <w:sz w:val="24"/>
          <w:szCs w:val="24"/>
        </w:rPr>
        <w:t xml:space="preserve"> matters</w:t>
      </w:r>
      <w:r w:rsidR="00C50AF9" w:rsidRPr="00C50AF9">
        <w:rPr>
          <w:sz w:val="24"/>
          <w:szCs w:val="24"/>
        </w:rPr>
        <w:t xml:space="preserve"> to the supervisor</w:t>
      </w:r>
      <w:r w:rsidR="00B759FB" w:rsidRPr="00C50AF9">
        <w:rPr>
          <w:sz w:val="24"/>
          <w:szCs w:val="24"/>
        </w:rPr>
        <w:t xml:space="preserve"> in accordance with delegations.</w:t>
      </w:r>
    </w:p>
    <w:p w14:paraId="73121F4C" w14:textId="33DDA65D" w:rsidR="00D2771F" w:rsidRPr="000B2CD2" w:rsidRDefault="00B759FB"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Provide </w:t>
      </w:r>
      <w:r w:rsidR="006642EF">
        <w:rPr>
          <w:sz w:val="24"/>
          <w:szCs w:val="24"/>
        </w:rPr>
        <w:t xml:space="preserve">operational leadership and workflow oversight for assessment program staff, </w:t>
      </w:r>
      <w:r w:rsidR="000A7EA4">
        <w:rPr>
          <w:sz w:val="24"/>
          <w:szCs w:val="24"/>
        </w:rPr>
        <w:t>manage</w:t>
      </w:r>
      <w:r w:rsidR="00685E7F">
        <w:rPr>
          <w:sz w:val="24"/>
          <w:szCs w:val="24"/>
        </w:rPr>
        <w:t xml:space="preserve"> </w:t>
      </w:r>
      <w:r w:rsidR="006642EF">
        <w:rPr>
          <w:sz w:val="24"/>
          <w:szCs w:val="24"/>
        </w:rPr>
        <w:t>the coordination of sessional and casual personnel involved in external assessment delivery, and contributing to induction, guidance</w:t>
      </w:r>
      <w:r w:rsidR="00016CD1">
        <w:rPr>
          <w:sz w:val="24"/>
          <w:szCs w:val="24"/>
        </w:rPr>
        <w:t xml:space="preserve"> and capability development.</w:t>
      </w:r>
    </w:p>
    <w:p w14:paraId="19479D99" w14:textId="1745261D" w:rsidR="00D2771F" w:rsidRPr="003D2354" w:rsidRDefault="00016CD1"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D2354">
        <w:rPr>
          <w:sz w:val="24"/>
          <w:szCs w:val="24"/>
        </w:rPr>
        <w:lastRenderedPageBreak/>
        <w:t xml:space="preserve">Contribute to </w:t>
      </w:r>
      <w:r w:rsidR="007A0CE1" w:rsidRPr="003D2354">
        <w:rPr>
          <w:sz w:val="24"/>
          <w:szCs w:val="24"/>
        </w:rPr>
        <w:t>the review, development and implementation of operational procedures, resources and systems to improve efficiency, accessibility, compliance and continuous improvement across external assessment operations.</w:t>
      </w:r>
    </w:p>
    <w:p w14:paraId="268A3DCE" w14:textId="2C24DDFE" w:rsidR="007A0CE1" w:rsidRPr="003D2354" w:rsidRDefault="007A0CE1"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D2354">
        <w:rPr>
          <w:sz w:val="24"/>
          <w:szCs w:val="24"/>
        </w:rPr>
        <w:t>Work collaboratively with the Lead – Assessment Program and internal teams, support</w:t>
      </w:r>
      <w:r w:rsidR="00CE6F72" w:rsidRPr="003D2354">
        <w:rPr>
          <w:sz w:val="24"/>
          <w:szCs w:val="24"/>
        </w:rPr>
        <w:t>ing achievement of program deliverables, stakeholder engagement, risk and issue management</w:t>
      </w:r>
      <w:r w:rsidR="009553F6" w:rsidRPr="003D2354">
        <w:rPr>
          <w:sz w:val="24"/>
          <w:szCs w:val="24"/>
        </w:rPr>
        <w:t>.</w:t>
      </w:r>
    </w:p>
    <w:p w14:paraId="1E9935A3"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EC3E4A"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A917973" w14:textId="15A2BEC7" w:rsidR="00D2771F" w:rsidRPr="000B2CD2" w:rsidRDefault="00E53064"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Demonstrated experience coordinating complex operational programs or processes within defined timeframes, including the ability to manage workflows, organise competing priorities and contribute to the delivery of hi</w:t>
      </w:r>
      <w:r w:rsidR="00935A39">
        <w:rPr>
          <w:sz w:val="24"/>
          <w:szCs w:val="24"/>
        </w:rPr>
        <w:t>gh-quality outcomes in a dynamic environment.</w:t>
      </w:r>
    </w:p>
    <w:p w14:paraId="59ECEA52" w14:textId="00851DDE" w:rsidR="00D2771F" w:rsidRPr="000B2CD2" w:rsidRDefault="00935A39"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High-level knowledge and practical understanding of external </w:t>
      </w:r>
      <w:r w:rsidR="00107CFC">
        <w:rPr>
          <w:sz w:val="24"/>
          <w:szCs w:val="24"/>
        </w:rPr>
        <w:t xml:space="preserve">assessment </w:t>
      </w:r>
      <w:r>
        <w:rPr>
          <w:sz w:val="24"/>
          <w:szCs w:val="24"/>
        </w:rPr>
        <w:t>operations</w:t>
      </w:r>
      <w:r w:rsidR="004004FA">
        <w:rPr>
          <w:sz w:val="24"/>
          <w:szCs w:val="24"/>
        </w:rPr>
        <w:t xml:space="preserve"> w</w:t>
      </w:r>
      <w:r w:rsidR="00BD3B86">
        <w:rPr>
          <w:sz w:val="24"/>
          <w:szCs w:val="24"/>
        </w:rPr>
        <w:t>ithin a senior secondary education context (or similar regulated assessment environment)</w:t>
      </w:r>
      <w:r>
        <w:rPr>
          <w:sz w:val="24"/>
          <w:szCs w:val="24"/>
        </w:rPr>
        <w:t>, including the administration and implementation of reasonable adjustments, and the ability to interpret and apply procedures and guidelines to ensure consistency and compliance.</w:t>
      </w:r>
    </w:p>
    <w:p w14:paraId="70E638CF" w14:textId="640D1E06" w:rsidR="00D2771F" w:rsidRPr="000B2CD2" w:rsidRDefault="00935A39"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Well-developed interpersonal and communication skills, including the ability to provide accurate operational advice, prepare clear written documentation and liaise </w:t>
      </w:r>
      <w:r w:rsidR="0049068C">
        <w:rPr>
          <w:sz w:val="24"/>
          <w:szCs w:val="24"/>
        </w:rPr>
        <w:t>effectively with a broad range of stakeholders</w:t>
      </w:r>
      <w:r w:rsidR="001B7C70">
        <w:rPr>
          <w:sz w:val="24"/>
          <w:szCs w:val="24"/>
        </w:rPr>
        <w:t>.</w:t>
      </w:r>
    </w:p>
    <w:p w14:paraId="4B1E420D" w14:textId="1B26C6A9" w:rsidR="00D2771F" w:rsidRPr="000B2CD2" w:rsidRDefault="0049068C"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Demonstrated ability to provide operational leadership, guidance and support to staff, including contributing to induction, development and capability building</w:t>
      </w:r>
      <w:r w:rsidR="009553F6">
        <w:rPr>
          <w:sz w:val="24"/>
          <w:szCs w:val="24"/>
        </w:rPr>
        <w:t>.</w:t>
      </w:r>
      <w:r>
        <w:rPr>
          <w:sz w:val="24"/>
          <w:szCs w:val="24"/>
        </w:rPr>
        <w:t xml:space="preserve"> </w:t>
      </w:r>
    </w:p>
    <w:p w14:paraId="62D8D971" w14:textId="01AF8DA7" w:rsidR="00D2771F" w:rsidRPr="005C26ED" w:rsidRDefault="003B208A"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Strong analytical, problem-solving and continuous improvement skills, with the ability to identify issues, suggest practical solutions, contribute to the development of procedures and systems, and escalate risks appropriately within organisational frameworks.</w:t>
      </w:r>
    </w:p>
    <w:p w14:paraId="341AB365"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lastRenderedPageBreak/>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0FDC97FB" w14:textId="21F257F0" w:rsidR="00D2771F" w:rsidRPr="003D2354" w:rsidRDefault="00D2771F" w:rsidP="003D2354">
            <w:pPr>
              <w:numPr>
                <w:ilvl w:val="0"/>
                <w:numId w:val="30"/>
              </w:numPr>
              <w:ind w:left="0" w:hanging="284"/>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03DD7303" w14:textId="7079CE3B" w:rsidR="00D2771F" w:rsidRPr="00C13D8F" w:rsidRDefault="00C60BB6" w:rsidP="003D2354">
            <w:pPr>
              <w:pStyle w:val="ListParagraph"/>
              <w:numPr>
                <w:ilvl w:val="0"/>
                <w:numId w:val="34"/>
              </w:numPr>
              <w:tabs>
                <w:tab w:val="clear" w:pos="454"/>
                <w:tab w:val="clear" w:pos="680"/>
              </w:tabs>
              <w:spacing w:after="120" w:line="288" w:lineRule="auto"/>
              <w:ind w:left="0" w:hanging="284"/>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D95216">
              <w:rPr>
                <w:rFonts w:eastAsia="Times New Roman"/>
                <w:sz w:val="24"/>
                <w:szCs w:val="22"/>
              </w:rPr>
              <w:t>A Degree or tertiary qualification or equivalent in a relevant discipline</w:t>
            </w:r>
          </w:p>
        </w:tc>
      </w:tr>
    </w:tbl>
    <w:bookmarkEnd w:id="3"/>
    <w:bookmarkEnd w:id="0"/>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lastRenderedPageBreak/>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rsidTr="00AE03E2">
        <w:trPr>
          <w:trHeight w:val="70"/>
          <w:tblHeader/>
        </w:trPr>
        <w:tc>
          <w:tcPr>
            <w:tcW w:w="9026" w:type="dxa"/>
          </w:tcPr>
          <w:p w14:paraId="106599CD" w14:textId="7184EFBB" w:rsidR="0030202C" w:rsidRDefault="00D2771F" w:rsidP="00F87871">
            <w:pPr>
              <w:tabs>
                <w:tab w:val="left" w:pos="180"/>
              </w:tabs>
              <w:spacing w:before="240" w:after="120" w:line="288" w:lineRule="auto"/>
              <w:jc w:val="both"/>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w:t>
            </w:r>
            <w:r>
              <w:rPr>
                <w:rFonts w:cs="Arial"/>
                <w:b/>
              </w:rPr>
              <w:t xml:space="preserve"> </w:t>
            </w:r>
            <w:r>
              <w:rPr>
                <w:rFonts w:cs="Arial"/>
              </w:rPr>
              <w:t xml:space="preserve">Manager – </w:t>
            </w:r>
            <w:r w:rsidR="003D2354">
              <w:rPr>
                <w:rFonts w:cs="Arial"/>
              </w:rPr>
              <w:t>Talent Acquisition – 02/26 JF</w:t>
            </w:r>
            <w:r>
              <w:rPr>
                <w:rFonts w:cs="Arial"/>
              </w:rPr>
              <w:t xml:space="preserve"> </w:t>
            </w:r>
          </w:p>
          <w:p w14:paraId="24CA0D8A" w14:textId="636E2041" w:rsidR="00F87871" w:rsidRDefault="00D2771F" w:rsidP="00F87871">
            <w:pPr>
              <w:tabs>
                <w:tab w:val="left" w:pos="180"/>
              </w:tabs>
              <w:spacing w:after="120" w:line="288" w:lineRule="auto"/>
              <w:jc w:val="both"/>
              <w:rPr>
                <w:rFonts w:cs="Arial"/>
              </w:rPr>
            </w:pPr>
            <w:r w:rsidRPr="00D720EC">
              <w:rPr>
                <w:rFonts w:cs="Arial"/>
              </w:rPr>
              <w:t xml:space="preserve">Request: </w:t>
            </w:r>
            <w:r w:rsidR="009E780C">
              <w:rPr>
                <w:rFonts w:cs="Arial"/>
              </w:rPr>
              <w:t>7042521</w:t>
            </w:r>
          </w:p>
          <w:p w14:paraId="76762638" w14:textId="13EDD3AB" w:rsidR="00D2771F" w:rsidRPr="00E15432" w:rsidRDefault="00D2771F" w:rsidP="00F87871">
            <w:pPr>
              <w:tabs>
                <w:tab w:val="left" w:pos="180"/>
              </w:tabs>
              <w:spacing w:after="120" w:line="288" w:lineRule="auto"/>
              <w:jc w:val="both"/>
              <w:rPr>
                <w:rFonts w:cs="Arial"/>
              </w:rPr>
            </w:pPr>
            <w:r w:rsidRPr="00D720EC">
              <w:rPr>
                <w:rFonts w:cs="Arial"/>
              </w:rPr>
              <w:t xml:space="preserve">Date Duties and Selection Criteria Last Reviewed: </w:t>
            </w:r>
            <w:r w:rsidR="003D2354">
              <w:rPr>
                <w:rFonts w:cs="Arial"/>
              </w:rPr>
              <w:t>02/26 DN</w:t>
            </w:r>
          </w:p>
        </w:tc>
      </w:tr>
      <w:bookmarkEnd w:id="4"/>
    </w:tbl>
    <w:p w14:paraId="353ABA7D" w14:textId="77777777" w:rsidR="00BF7FC7" w:rsidRPr="00BF7FC7" w:rsidRDefault="00BF7FC7" w:rsidP="00F87871">
      <w:pPr>
        <w:tabs>
          <w:tab w:val="left" w:pos="3826"/>
        </w:tabs>
        <w:jc w:val="both"/>
      </w:pPr>
    </w:p>
    <w:sectPr w:rsidR="00BF7FC7" w:rsidRPr="00BF7FC7" w:rsidSect="00A26A93">
      <w:footerReference w:type="default" r:id="rId16"/>
      <w:headerReference w:type="first" r:id="rId17"/>
      <w:footerReference w:type="first" r:id="rId18"/>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3386" w14:textId="77777777" w:rsidR="00E5675A" w:rsidRDefault="00E5675A" w:rsidP="0021185D">
      <w:pPr>
        <w:spacing w:after="0" w:line="240" w:lineRule="auto"/>
      </w:pPr>
      <w:r>
        <w:separator/>
      </w:r>
    </w:p>
    <w:p w14:paraId="1E0072D3" w14:textId="77777777" w:rsidR="00E5675A" w:rsidRDefault="00E5675A"/>
  </w:endnote>
  <w:endnote w:type="continuationSeparator" w:id="0">
    <w:p w14:paraId="00481F3D" w14:textId="77777777" w:rsidR="00E5675A" w:rsidRDefault="00E5675A" w:rsidP="0021185D">
      <w:pPr>
        <w:spacing w:after="0" w:line="240" w:lineRule="auto"/>
      </w:pPr>
      <w:r>
        <w:continuationSeparator/>
      </w:r>
    </w:p>
    <w:p w14:paraId="69E327E5" w14:textId="77777777" w:rsidR="00E5675A" w:rsidRDefault="00E56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21F4" w14:textId="77777777" w:rsidR="00E5675A" w:rsidRDefault="00E5675A" w:rsidP="0021185D">
      <w:pPr>
        <w:spacing w:after="0" w:line="240" w:lineRule="auto"/>
      </w:pPr>
      <w:r>
        <w:separator/>
      </w:r>
    </w:p>
    <w:p w14:paraId="2D5E57BF" w14:textId="77777777" w:rsidR="00E5675A" w:rsidRDefault="00E5675A"/>
  </w:footnote>
  <w:footnote w:type="continuationSeparator" w:id="0">
    <w:p w14:paraId="4D5BBE69" w14:textId="77777777" w:rsidR="00E5675A" w:rsidRDefault="00E5675A" w:rsidP="0021185D">
      <w:pPr>
        <w:spacing w:after="0" w:line="240" w:lineRule="auto"/>
      </w:pPr>
      <w:r>
        <w:continuationSeparator/>
      </w:r>
    </w:p>
    <w:p w14:paraId="53A48E6C" w14:textId="77777777" w:rsidR="00E5675A" w:rsidRDefault="00E56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16CD1"/>
    <w:rsid w:val="0003097B"/>
    <w:rsid w:val="00043BD2"/>
    <w:rsid w:val="00054DAF"/>
    <w:rsid w:val="00060B8A"/>
    <w:rsid w:val="00075F1C"/>
    <w:rsid w:val="00083CA6"/>
    <w:rsid w:val="00083EED"/>
    <w:rsid w:val="00085E6F"/>
    <w:rsid w:val="00087C27"/>
    <w:rsid w:val="000A46F0"/>
    <w:rsid w:val="000A6D2A"/>
    <w:rsid w:val="000A7EA4"/>
    <w:rsid w:val="000B12D1"/>
    <w:rsid w:val="000C3A75"/>
    <w:rsid w:val="000E161A"/>
    <w:rsid w:val="000E18D3"/>
    <w:rsid w:val="000F06F3"/>
    <w:rsid w:val="000F43B3"/>
    <w:rsid w:val="000F44F6"/>
    <w:rsid w:val="00107CFC"/>
    <w:rsid w:val="00117D4C"/>
    <w:rsid w:val="001305A1"/>
    <w:rsid w:val="00131CAE"/>
    <w:rsid w:val="00133A95"/>
    <w:rsid w:val="00145063"/>
    <w:rsid w:val="001543EA"/>
    <w:rsid w:val="00161417"/>
    <w:rsid w:val="0016296A"/>
    <w:rsid w:val="00163800"/>
    <w:rsid w:val="00167EA1"/>
    <w:rsid w:val="0017164A"/>
    <w:rsid w:val="001733FD"/>
    <w:rsid w:val="0019596D"/>
    <w:rsid w:val="001A3B3F"/>
    <w:rsid w:val="001A4CB2"/>
    <w:rsid w:val="001A5B95"/>
    <w:rsid w:val="001B7C70"/>
    <w:rsid w:val="001C1052"/>
    <w:rsid w:val="001D5970"/>
    <w:rsid w:val="001E01A1"/>
    <w:rsid w:val="001E7F11"/>
    <w:rsid w:val="00200C4A"/>
    <w:rsid w:val="0021185D"/>
    <w:rsid w:val="00215CEC"/>
    <w:rsid w:val="00216D6E"/>
    <w:rsid w:val="002229B6"/>
    <w:rsid w:val="002550C7"/>
    <w:rsid w:val="00256B79"/>
    <w:rsid w:val="00264614"/>
    <w:rsid w:val="0027130E"/>
    <w:rsid w:val="00274CC1"/>
    <w:rsid w:val="00280ED9"/>
    <w:rsid w:val="002878CA"/>
    <w:rsid w:val="002A609F"/>
    <w:rsid w:val="002B5F08"/>
    <w:rsid w:val="002C1C14"/>
    <w:rsid w:val="002C2248"/>
    <w:rsid w:val="002C5E53"/>
    <w:rsid w:val="002D07AC"/>
    <w:rsid w:val="002F74C8"/>
    <w:rsid w:val="0030202C"/>
    <w:rsid w:val="003022D3"/>
    <w:rsid w:val="00302D72"/>
    <w:rsid w:val="00310B14"/>
    <w:rsid w:val="00314A9E"/>
    <w:rsid w:val="00315A37"/>
    <w:rsid w:val="00330C21"/>
    <w:rsid w:val="003316DF"/>
    <w:rsid w:val="00334D9C"/>
    <w:rsid w:val="00335740"/>
    <w:rsid w:val="00350EB8"/>
    <w:rsid w:val="00356782"/>
    <w:rsid w:val="003616E4"/>
    <w:rsid w:val="00394B1B"/>
    <w:rsid w:val="00395538"/>
    <w:rsid w:val="003A1D10"/>
    <w:rsid w:val="003A536B"/>
    <w:rsid w:val="003A66C0"/>
    <w:rsid w:val="003B208A"/>
    <w:rsid w:val="003B4B23"/>
    <w:rsid w:val="003D2354"/>
    <w:rsid w:val="003D675E"/>
    <w:rsid w:val="003E0233"/>
    <w:rsid w:val="004004FA"/>
    <w:rsid w:val="00400B33"/>
    <w:rsid w:val="0040727E"/>
    <w:rsid w:val="0042558A"/>
    <w:rsid w:val="0042594C"/>
    <w:rsid w:val="00430343"/>
    <w:rsid w:val="00434E45"/>
    <w:rsid w:val="004561FC"/>
    <w:rsid w:val="004609BB"/>
    <w:rsid w:val="00470177"/>
    <w:rsid w:val="0049068C"/>
    <w:rsid w:val="004B0DC9"/>
    <w:rsid w:val="004C277B"/>
    <w:rsid w:val="004C4F86"/>
    <w:rsid w:val="004D1FC2"/>
    <w:rsid w:val="004D21DB"/>
    <w:rsid w:val="004D2F28"/>
    <w:rsid w:val="004D73C3"/>
    <w:rsid w:val="004D7A71"/>
    <w:rsid w:val="004E236F"/>
    <w:rsid w:val="005066D4"/>
    <w:rsid w:val="00515EB4"/>
    <w:rsid w:val="00533BB5"/>
    <w:rsid w:val="00541E00"/>
    <w:rsid w:val="00545C6D"/>
    <w:rsid w:val="00546B9E"/>
    <w:rsid w:val="00553139"/>
    <w:rsid w:val="00571853"/>
    <w:rsid w:val="0057794A"/>
    <w:rsid w:val="005809C1"/>
    <w:rsid w:val="005816FC"/>
    <w:rsid w:val="005836DC"/>
    <w:rsid w:val="0058395F"/>
    <w:rsid w:val="00585028"/>
    <w:rsid w:val="005A63D5"/>
    <w:rsid w:val="005B2404"/>
    <w:rsid w:val="005C26ED"/>
    <w:rsid w:val="005D2ABD"/>
    <w:rsid w:val="005D3166"/>
    <w:rsid w:val="005E5F72"/>
    <w:rsid w:val="005E7128"/>
    <w:rsid w:val="005F0AB1"/>
    <w:rsid w:val="005F65E8"/>
    <w:rsid w:val="00604DB0"/>
    <w:rsid w:val="00611319"/>
    <w:rsid w:val="00611AD3"/>
    <w:rsid w:val="00613423"/>
    <w:rsid w:val="00620233"/>
    <w:rsid w:val="0062325D"/>
    <w:rsid w:val="00626953"/>
    <w:rsid w:val="006279E9"/>
    <w:rsid w:val="006458C0"/>
    <w:rsid w:val="006642EF"/>
    <w:rsid w:val="00680938"/>
    <w:rsid w:val="00685E7F"/>
    <w:rsid w:val="00697DE2"/>
    <w:rsid w:val="006C2F21"/>
    <w:rsid w:val="006D4801"/>
    <w:rsid w:val="006D4872"/>
    <w:rsid w:val="006D7008"/>
    <w:rsid w:val="006D7169"/>
    <w:rsid w:val="006E7034"/>
    <w:rsid w:val="00721947"/>
    <w:rsid w:val="007260EA"/>
    <w:rsid w:val="0073162E"/>
    <w:rsid w:val="00736B55"/>
    <w:rsid w:val="0074012F"/>
    <w:rsid w:val="00741F76"/>
    <w:rsid w:val="0074212D"/>
    <w:rsid w:val="0076283B"/>
    <w:rsid w:val="00772F50"/>
    <w:rsid w:val="0077316E"/>
    <w:rsid w:val="00773550"/>
    <w:rsid w:val="007773F9"/>
    <w:rsid w:val="00792193"/>
    <w:rsid w:val="00796B75"/>
    <w:rsid w:val="007A0CE1"/>
    <w:rsid w:val="007A6C0F"/>
    <w:rsid w:val="007B624D"/>
    <w:rsid w:val="007B689E"/>
    <w:rsid w:val="007B7B9D"/>
    <w:rsid w:val="007C64D9"/>
    <w:rsid w:val="007D126B"/>
    <w:rsid w:val="00820B52"/>
    <w:rsid w:val="0082660F"/>
    <w:rsid w:val="00832C37"/>
    <w:rsid w:val="00833B00"/>
    <w:rsid w:val="00835463"/>
    <w:rsid w:val="00846AE9"/>
    <w:rsid w:val="00853810"/>
    <w:rsid w:val="0086173D"/>
    <w:rsid w:val="00867075"/>
    <w:rsid w:val="008929BA"/>
    <w:rsid w:val="008A4A15"/>
    <w:rsid w:val="008B03C9"/>
    <w:rsid w:val="008B5261"/>
    <w:rsid w:val="008C241C"/>
    <w:rsid w:val="008E08BD"/>
    <w:rsid w:val="008E29EB"/>
    <w:rsid w:val="008E4295"/>
    <w:rsid w:val="008E504D"/>
    <w:rsid w:val="008F2FCD"/>
    <w:rsid w:val="009135F2"/>
    <w:rsid w:val="00932781"/>
    <w:rsid w:val="00935713"/>
    <w:rsid w:val="00935A39"/>
    <w:rsid w:val="00935E94"/>
    <w:rsid w:val="0094746F"/>
    <w:rsid w:val="009514D5"/>
    <w:rsid w:val="009553F6"/>
    <w:rsid w:val="00963D71"/>
    <w:rsid w:val="00967289"/>
    <w:rsid w:val="0097719A"/>
    <w:rsid w:val="00980A86"/>
    <w:rsid w:val="00980B47"/>
    <w:rsid w:val="0098476B"/>
    <w:rsid w:val="00984C70"/>
    <w:rsid w:val="009A7920"/>
    <w:rsid w:val="009B3B5A"/>
    <w:rsid w:val="009B48A8"/>
    <w:rsid w:val="009C08F6"/>
    <w:rsid w:val="009D0306"/>
    <w:rsid w:val="009D6E8A"/>
    <w:rsid w:val="009D77A5"/>
    <w:rsid w:val="009E38FD"/>
    <w:rsid w:val="009E45D2"/>
    <w:rsid w:val="009E780C"/>
    <w:rsid w:val="009F275A"/>
    <w:rsid w:val="009F56AC"/>
    <w:rsid w:val="00A1632A"/>
    <w:rsid w:val="00A233DC"/>
    <w:rsid w:val="00A26A93"/>
    <w:rsid w:val="00A31064"/>
    <w:rsid w:val="00A4202E"/>
    <w:rsid w:val="00A67A6E"/>
    <w:rsid w:val="00A81B75"/>
    <w:rsid w:val="00A85286"/>
    <w:rsid w:val="00A90FD6"/>
    <w:rsid w:val="00A97F5E"/>
    <w:rsid w:val="00AB3CCF"/>
    <w:rsid w:val="00AC1750"/>
    <w:rsid w:val="00AD47C0"/>
    <w:rsid w:val="00AD613E"/>
    <w:rsid w:val="00AE04F2"/>
    <w:rsid w:val="00AE1B13"/>
    <w:rsid w:val="00AE2074"/>
    <w:rsid w:val="00AE46C1"/>
    <w:rsid w:val="00B02B5C"/>
    <w:rsid w:val="00B070F8"/>
    <w:rsid w:val="00B14D71"/>
    <w:rsid w:val="00B2387C"/>
    <w:rsid w:val="00B26E57"/>
    <w:rsid w:val="00B35976"/>
    <w:rsid w:val="00B419A8"/>
    <w:rsid w:val="00B5117E"/>
    <w:rsid w:val="00B526DE"/>
    <w:rsid w:val="00B620D5"/>
    <w:rsid w:val="00B66506"/>
    <w:rsid w:val="00B66AB7"/>
    <w:rsid w:val="00B741A8"/>
    <w:rsid w:val="00B74AF3"/>
    <w:rsid w:val="00B7509B"/>
    <w:rsid w:val="00B759FB"/>
    <w:rsid w:val="00B93ADF"/>
    <w:rsid w:val="00B9468D"/>
    <w:rsid w:val="00BA3C7A"/>
    <w:rsid w:val="00BA6C3B"/>
    <w:rsid w:val="00BD076D"/>
    <w:rsid w:val="00BD2AAD"/>
    <w:rsid w:val="00BD3B86"/>
    <w:rsid w:val="00BE003F"/>
    <w:rsid w:val="00BE1A22"/>
    <w:rsid w:val="00BF7FC7"/>
    <w:rsid w:val="00C009D6"/>
    <w:rsid w:val="00C05D41"/>
    <w:rsid w:val="00C13D8F"/>
    <w:rsid w:val="00C200D1"/>
    <w:rsid w:val="00C247A8"/>
    <w:rsid w:val="00C35A22"/>
    <w:rsid w:val="00C41DB7"/>
    <w:rsid w:val="00C42925"/>
    <w:rsid w:val="00C44AA7"/>
    <w:rsid w:val="00C4706C"/>
    <w:rsid w:val="00C50AF9"/>
    <w:rsid w:val="00C52371"/>
    <w:rsid w:val="00C5488F"/>
    <w:rsid w:val="00C57301"/>
    <w:rsid w:val="00C60BB6"/>
    <w:rsid w:val="00C673DA"/>
    <w:rsid w:val="00C74145"/>
    <w:rsid w:val="00C8261F"/>
    <w:rsid w:val="00C8792B"/>
    <w:rsid w:val="00CB38B2"/>
    <w:rsid w:val="00CB5931"/>
    <w:rsid w:val="00CC067E"/>
    <w:rsid w:val="00CC4248"/>
    <w:rsid w:val="00CD2F65"/>
    <w:rsid w:val="00CD7A70"/>
    <w:rsid w:val="00CE3DB6"/>
    <w:rsid w:val="00CE6F72"/>
    <w:rsid w:val="00CF1BBA"/>
    <w:rsid w:val="00CF1D18"/>
    <w:rsid w:val="00D06C44"/>
    <w:rsid w:val="00D21B73"/>
    <w:rsid w:val="00D26002"/>
    <w:rsid w:val="00D2771F"/>
    <w:rsid w:val="00D377F8"/>
    <w:rsid w:val="00D42731"/>
    <w:rsid w:val="00D44AA7"/>
    <w:rsid w:val="00D45F28"/>
    <w:rsid w:val="00D5450E"/>
    <w:rsid w:val="00D579EE"/>
    <w:rsid w:val="00D603EF"/>
    <w:rsid w:val="00D62936"/>
    <w:rsid w:val="00D70A45"/>
    <w:rsid w:val="00D82155"/>
    <w:rsid w:val="00D963D0"/>
    <w:rsid w:val="00D965A0"/>
    <w:rsid w:val="00DA7623"/>
    <w:rsid w:val="00DA7DF0"/>
    <w:rsid w:val="00DB369F"/>
    <w:rsid w:val="00DC461F"/>
    <w:rsid w:val="00DD37E6"/>
    <w:rsid w:val="00DD7B0A"/>
    <w:rsid w:val="00DE5CC9"/>
    <w:rsid w:val="00DE7667"/>
    <w:rsid w:val="00DF57DE"/>
    <w:rsid w:val="00E069E9"/>
    <w:rsid w:val="00E14C45"/>
    <w:rsid w:val="00E15432"/>
    <w:rsid w:val="00E25C7B"/>
    <w:rsid w:val="00E3103F"/>
    <w:rsid w:val="00E36F56"/>
    <w:rsid w:val="00E441F1"/>
    <w:rsid w:val="00E50FF8"/>
    <w:rsid w:val="00E53064"/>
    <w:rsid w:val="00E5675A"/>
    <w:rsid w:val="00E576CC"/>
    <w:rsid w:val="00E61456"/>
    <w:rsid w:val="00E65B35"/>
    <w:rsid w:val="00E7126F"/>
    <w:rsid w:val="00E80F0E"/>
    <w:rsid w:val="00E8310E"/>
    <w:rsid w:val="00E8482A"/>
    <w:rsid w:val="00E92BDF"/>
    <w:rsid w:val="00E9525A"/>
    <w:rsid w:val="00EA2FE8"/>
    <w:rsid w:val="00EA368E"/>
    <w:rsid w:val="00EB0331"/>
    <w:rsid w:val="00EC7BED"/>
    <w:rsid w:val="00EE2CB4"/>
    <w:rsid w:val="00EF0022"/>
    <w:rsid w:val="00EF17A8"/>
    <w:rsid w:val="00F000B3"/>
    <w:rsid w:val="00F00402"/>
    <w:rsid w:val="00F00C5A"/>
    <w:rsid w:val="00F053E5"/>
    <w:rsid w:val="00F057E9"/>
    <w:rsid w:val="00F25D12"/>
    <w:rsid w:val="00F32565"/>
    <w:rsid w:val="00F45B2A"/>
    <w:rsid w:val="00F52F3C"/>
    <w:rsid w:val="00F85579"/>
    <w:rsid w:val="00F87871"/>
    <w:rsid w:val="00F87EB5"/>
    <w:rsid w:val="00FA4301"/>
    <w:rsid w:val="00FC056B"/>
    <w:rsid w:val="00FC07A1"/>
    <w:rsid w:val="00FC6165"/>
    <w:rsid w:val="00FE016D"/>
    <w:rsid w:val="00FE2429"/>
    <w:rsid w:val="00FE5D73"/>
    <w:rsid w:val="00FF1431"/>
    <w:rsid w:val="00FF5808"/>
    <w:rsid w:val="00FF63FA"/>
    <w:rsid w:val="155C20BC"/>
    <w:rsid w:val="2CC8F8E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9D954725-5472-407F-BB40-014B855B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asc.tas.gov.au/about/govern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ac.tas.gov.au/divisions/ssm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D5180B4944C3B8BB427D7654A2051"/>
        <w:category>
          <w:name w:val="General"/>
          <w:gallery w:val="placeholder"/>
        </w:category>
        <w:types>
          <w:type w:val="bbPlcHdr"/>
        </w:types>
        <w:behaviors>
          <w:behavior w:val="content"/>
        </w:behaviors>
        <w:guid w:val="{8B82CD5D-54DA-4EB4-803E-D308ADB2DC72}"/>
      </w:docPartPr>
      <w:docPartBody>
        <w:p w:rsidR="008D29AE" w:rsidRDefault="008D29AE">
          <w:pPr>
            <w:pStyle w:val="49DD5180B4944C3B8BB427D7654A2051"/>
          </w:pPr>
          <w:r w:rsidRPr="00370966">
            <w:rPr>
              <w:rStyle w:val="PlaceholderText"/>
            </w:rPr>
            <w:t>[Title]</w:t>
          </w:r>
        </w:p>
      </w:docPartBody>
    </w:docPart>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0F06F3"/>
    <w:rsid w:val="00222133"/>
    <w:rsid w:val="002878CA"/>
    <w:rsid w:val="002D07AC"/>
    <w:rsid w:val="00330C21"/>
    <w:rsid w:val="0035040C"/>
    <w:rsid w:val="003E0233"/>
    <w:rsid w:val="00400B33"/>
    <w:rsid w:val="00434E45"/>
    <w:rsid w:val="00533BB5"/>
    <w:rsid w:val="005D3166"/>
    <w:rsid w:val="005F65E8"/>
    <w:rsid w:val="0077316E"/>
    <w:rsid w:val="008D29AE"/>
    <w:rsid w:val="0097719A"/>
    <w:rsid w:val="00A52702"/>
    <w:rsid w:val="00B14D71"/>
    <w:rsid w:val="00B74AF3"/>
    <w:rsid w:val="00C16BE0"/>
    <w:rsid w:val="00D06AC3"/>
    <w:rsid w:val="00D269FD"/>
    <w:rsid w:val="00D5638D"/>
    <w:rsid w:val="00FC0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05309da76f91ab1ee790d38b213a54c3">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d5f7d03eda90ae9957a4162d787c1ee0"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3397</Value>
      <Value>28</Value>
      <Value>4977</Value>
      <Value>9776</Value>
      <Value>2821</Value>
      <Value>9517</Value>
      <Value>5369</Value>
      <Value>4</Value>
      <Value>2038</Value>
      <Value>9770</Value>
      <Value>215</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template</TermName>
          <TermId xmlns="http://schemas.microsoft.com/office/infopath/2007/PartnerControls">69a24afe-20fa-4721-bac3-66e5ccecfa32</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Props1.xml><?xml version="1.0" encoding="utf-8"?>
<ds:datastoreItem xmlns:ds="http://schemas.openxmlformats.org/officeDocument/2006/customXml" ds:itemID="{54F54A4C-8040-423C-821D-DECFF35C6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DF03EDAF-F1B0-4710-BB70-361CBE105F20}">
  <ds:schemaRefs>
    <ds:schemaRef ds:uri="http://schemas.microsoft.com/sharepoint/events"/>
  </ds:schemaRefs>
</ds:datastoreItem>
</file>

<file path=customXml/itemProps5.xml><?xml version="1.0" encoding="utf-8"?>
<ds:datastoreItem xmlns:ds="http://schemas.openxmlformats.org/officeDocument/2006/customXml" ds:itemID="{5AD0555F-144B-4D7D-9A4E-EABAE03767DB}">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c42b6124-4883-43ad-b9e4-8371c60bf13e"/>
    <ds:schemaRef ds:uri="f4d687a3-763f-4c4d-a2c3-3894f6ee9db2"/>
    <ds:schemaRef ds:uri="http://purl.org/dc/elements/1.1/"/>
    <ds:schemaRef ds:uri="73e323e8-fcc4-4315-9e8f-db2c5533015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1496</Words>
  <Characters>9410</Characters>
  <Application>Microsoft Office Word</Application>
  <DocSecurity>0</DocSecurity>
  <Lines>174</Lines>
  <Paragraphs>83</Paragraphs>
  <ScaleCrop>false</ScaleCrop>
  <Manager/>
  <Company>Tasmanian Government - Department for Education, Children and Young People</Company>
  <LinksUpToDate>false</LinksUpToDate>
  <CharactersWithSpaces>10823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Program Coordinator</dc:title>
  <dc:subject/>
  <dc:creator>Warr, Shell</dc:creator>
  <cp:keywords>SOD; HR; Duties; statement; Recruitment; template</cp:keywords>
  <dc:description/>
  <cp:lastModifiedBy>Bromfield, Hayley</cp:lastModifiedBy>
  <cp:revision>4</cp:revision>
  <cp:lastPrinted>2026-01-22T23:17:00Z</cp:lastPrinted>
  <dcterms:created xsi:type="dcterms:W3CDTF">2026-02-15T22:07:00Z</dcterms:created>
  <dcterms:modified xsi:type="dcterms:W3CDTF">2026-02-25T23:45:00Z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1548;#statement|d1d32147-41b0-4adf-81ab-1e9d34fd5d50;#5369;#Duties|3e63e8c4-0149-4e8e-b1e0-e7e193d5410e;#2038;#Recruitment|871ea328-04b8-4510-b8c0-8a40646cd219;#3397;#SOD|649a35d6-ef71-490d-bf71-c2ece9c082c0;#215;#HR|ce8a6860-aeb9-4708-8bcd-45e6411f29f1;#33;#template|69a24afe-20fa-4721-bac3-66e5ccecfa32</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y fmtid="{D5CDD505-2E9C-101B-9397-08002B2CF9AE}" pid="46" name="_ApprovalStatus">
    <vt:i4>0</vt:i4>
  </property>
</Properties>
</file>