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011947"/>
          <w:sz w:val="48"/>
          <w:szCs w:val="48"/>
        </w:rPr>
        <w:alias w:val="Title"/>
        <w:tag w:val=""/>
        <w:id w:val="1716622775"/>
        <w:placeholder>
          <w:docPart w:val="EF322BA3033C4311984FF0E623CF5632"/>
        </w:placeholder>
        <w:dataBinding w:prefixMappings="xmlns:ns0='http://purl.org/dc/elements/1.1/' xmlns:ns1='http://schemas.openxmlformats.org/package/2006/metadata/core-properties' " w:xpath="/ns1:coreProperties[1]/ns0:title[1]" w:storeItemID="{6C3C8BC8-F283-45AE-878A-BAB7291924A1}"/>
        <w:text/>
      </w:sdtPr>
      <w:sdtContent>
        <w:p w14:paraId="45BCEADD" w14:textId="2755DE27" w:rsidR="009D6E8A" w:rsidRPr="00274CC1" w:rsidRDefault="004333FC" w:rsidP="00C13D8F">
          <w:pPr>
            <w:pStyle w:val="Title"/>
            <w:rPr>
              <w:color w:val="001947" w:themeColor="accent6"/>
              <w:sz w:val="48"/>
              <w:szCs w:val="48"/>
            </w:rPr>
          </w:pPr>
          <w:r w:rsidRPr="004333FC">
            <w:rPr>
              <w:color w:val="011947"/>
              <w:sz w:val="48"/>
              <w:szCs w:val="48"/>
            </w:rPr>
            <w:t>Operations Coordinator</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7CDF5BA8"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7B8B097B" w14:textId="77777777" w:rsidR="009D6E8A" w:rsidRPr="0057614B" w:rsidRDefault="009D6E8A" w:rsidP="00C13D8F">
            <w:pPr>
              <w:rPr>
                <w:bCs/>
                <w:sz w:val="28"/>
                <w:szCs w:val="28"/>
              </w:rPr>
            </w:pPr>
            <w:r w:rsidRPr="00E8310E">
              <w:rPr>
                <w:color w:val="001947" w:themeColor="accent6"/>
                <w:sz w:val="28"/>
                <w:szCs w:val="28"/>
              </w:rPr>
              <w:t xml:space="preserve">STATEMENT OF DUTIES </w:t>
            </w:r>
          </w:p>
        </w:tc>
        <w:tc>
          <w:tcPr>
            <w:tcW w:w="4846" w:type="dxa"/>
          </w:tcPr>
          <w:p w14:paraId="1FF7B4CA" w14:textId="2DD15D4F" w:rsidR="009D6E8A" w:rsidRPr="0057614B" w:rsidRDefault="004333FC" w:rsidP="009C08F6">
            <w:pPr>
              <w:jc w:val="right"/>
              <w:rPr>
                <w:sz w:val="28"/>
                <w:szCs w:val="28"/>
              </w:rPr>
            </w:pPr>
            <w:r>
              <w:rPr>
                <w:color w:val="001947" w:themeColor="accent6"/>
                <w:sz w:val="28"/>
                <w:szCs w:val="28"/>
              </w:rPr>
              <w:t>September 2012</w:t>
            </w:r>
          </w:p>
        </w:tc>
      </w:tr>
      <w:tr w:rsidR="00D2771F" w14:paraId="6BAAA864" w14:textId="77777777" w:rsidTr="00D2771F">
        <w:trPr>
          <w:trHeight w:val="385"/>
        </w:trPr>
        <w:tc>
          <w:tcPr>
            <w:tcW w:w="3152" w:type="dxa"/>
          </w:tcPr>
          <w:p w14:paraId="1FCC37AA" w14:textId="77777777" w:rsidR="00D2771F" w:rsidRPr="00D603EF" w:rsidRDefault="00D2771F" w:rsidP="00D2771F">
            <w:pPr>
              <w:pStyle w:val="TableBodyText"/>
              <w:rPr>
                <w:sz w:val="24"/>
                <w:szCs w:val="24"/>
              </w:rPr>
            </w:pPr>
            <w:r w:rsidRPr="00D603EF">
              <w:rPr>
                <w:sz w:val="24"/>
                <w:szCs w:val="24"/>
              </w:rPr>
              <w:t>Number</w:t>
            </w:r>
          </w:p>
        </w:tc>
        <w:tc>
          <w:tcPr>
            <w:tcW w:w="6540" w:type="dxa"/>
            <w:gridSpan w:val="2"/>
          </w:tcPr>
          <w:p w14:paraId="78804381" w14:textId="6272931C" w:rsidR="00D2771F" w:rsidRPr="00C80E54" w:rsidRDefault="004333FC" w:rsidP="00D2771F">
            <w:pPr>
              <w:pStyle w:val="TableBodyText"/>
              <w:rPr>
                <w:sz w:val="24"/>
                <w:szCs w:val="24"/>
              </w:rPr>
            </w:pPr>
            <w:r w:rsidRPr="00C80E54">
              <w:rPr>
                <w:rFonts w:eastAsia="Times New Roman" w:cs="Arial"/>
                <w:bCs/>
                <w:sz w:val="24"/>
                <w:szCs w:val="24"/>
              </w:rPr>
              <w:t>Generic</w:t>
            </w:r>
          </w:p>
        </w:tc>
      </w:tr>
      <w:tr w:rsidR="00D2771F" w14:paraId="1FE739A7"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0D0B0056" w14:textId="77777777" w:rsidR="00D2771F" w:rsidRPr="00D603EF" w:rsidRDefault="00D2771F" w:rsidP="00D2771F">
            <w:pPr>
              <w:pStyle w:val="TableBodyText"/>
              <w:rPr>
                <w:sz w:val="24"/>
                <w:szCs w:val="24"/>
              </w:rPr>
            </w:pPr>
            <w:r w:rsidRPr="00D603EF">
              <w:rPr>
                <w:sz w:val="24"/>
                <w:szCs w:val="24"/>
              </w:rPr>
              <w:t>Portfolio</w:t>
            </w:r>
          </w:p>
        </w:tc>
        <w:sdt>
          <w:sdtPr>
            <w:rPr>
              <w:sz w:val="24"/>
              <w:szCs w:val="24"/>
            </w:rPr>
            <w:id w:val="-1794978893"/>
            <w:placeholder>
              <w:docPart w:val="C19BD62EDD264C728CF3B5DF29542BBD"/>
            </w:placeholder>
            <w:dropDownList>
              <w:listItem w:value="Choose an item."/>
              <w:listItem w:displayText="Business Operations and Support" w:value="Business Operations and Support"/>
              <w:listItem w:displayText="Keeping Children Safe" w:value="Keeping Children Safe"/>
              <w:listItem w:displayText="Services for Youth Justice" w:value="Services for Youth Justice"/>
              <w:listItem w:displayText="Schools and Early Years" w:value="Schools and Early Years"/>
              <w:listItem w:displayText="Development and Support" w:value="Development and Support"/>
              <w:listItem w:displayText="Continuous Improvement and Evaluation" w:value="Continuous Improvement and Evaluation"/>
              <w:listItem w:displayText="Education Regulation" w:value="Education Regulation"/>
              <w:listItem w:displayText="Office of the Secretary" w:value="Office of the Secretary"/>
            </w:dropDownList>
          </w:sdtPr>
          <w:sdtContent>
            <w:tc>
              <w:tcPr>
                <w:tcW w:w="6540" w:type="dxa"/>
                <w:gridSpan w:val="2"/>
              </w:tcPr>
              <w:p w14:paraId="7A18AE64" w14:textId="0B9DAC89" w:rsidR="00D2771F" w:rsidRPr="00C80E54" w:rsidRDefault="004333FC" w:rsidP="00D2771F">
                <w:pPr>
                  <w:pStyle w:val="TableBodyText"/>
                  <w:rPr>
                    <w:sz w:val="24"/>
                    <w:szCs w:val="24"/>
                  </w:rPr>
                </w:pPr>
                <w:r w:rsidRPr="00C80E54">
                  <w:rPr>
                    <w:sz w:val="24"/>
                    <w:szCs w:val="24"/>
                  </w:rPr>
                  <w:t>Services for Youth Justice</w:t>
                </w:r>
              </w:p>
            </w:tc>
          </w:sdtContent>
        </w:sdt>
      </w:tr>
      <w:tr w:rsidR="00D2771F" w14:paraId="31220F4D" w14:textId="77777777" w:rsidTr="00D2771F">
        <w:trPr>
          <w:trHeight w:val="385"/>
        </w:trPr>
        <w:tc>
          <w:tcPr>
            <w:tcW w:w="3152" w:type="dxa"/>
          </w:tcPr>
          <w:p w14:paraId="049B70F2" w14:textId="77777777" w:rsidR="00D2771F" w:rsidRPr="00D603EF" w:rsidRDefault="00D2771F" w:rsidP="00D2771F">
            <w:pPr>
              <w:pStyle w:val="TableBodyText"/>
              <w:rPr>
                <w:sz w:val="24"/>
                <w:szCs w:val="24"/>
              </w:rPr>
            </w:pPr>
            <w:r w:rsidRPr="00D603EF">
              <w:rPr>
                <w:sz w:val="24"/>
                <w:szCs w:val="24"/>
              </w:rPr>
              <w:t>Branch</w:t>
            </w:r>
          </w:p>
        </w:tc>
        <w:tc>
          <w:tcPr>
            <w:tcW w:w="6540" w:type="dxa"/>
            <w:gridSpan w:val="2"/>
          </w:tcPr>
          <w:p w14:paraId="5A48AD02" w14:textId="27E27E34" w:rsidR="00D2771F" w:rsidRPr="00C80E54" w:rsidRDefault="004333FC" w:rsidP="00D2771F">
            <w:pPr>
              <w:pStyle w:val="TableBodyText"/>
              <w:rPr>
                <w:sz w:val="24"/>
                <w:szCs w:val="24"/>
              </w:rPr>
            </w:pPr>
            <w:r w:rsidRPr="00C80E54">
              <w:rPr>
                <w:rFonts w:eastAsia="Times New Roman" w:cs="Arial"/>
                <w:bCs/>
                <w:sz w:val="24"/>
                <w:szCs w:val="24"/>
              </w:rPr>
              <w:t>Ashley Youth Detention Centre</w:t>
            </w:r>
          </w:p>
        </w:tc>
      </w:tr>
      <w:tr w:rsidR="00D2771F" w14:paraId="009D4C05"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02B1D431" w14:textId="77777777" w:rsidR="00D2771F" w:rsidRPr="00D603EF" w:rsidRDefault="00D2771F" w:rsidP="00D2771F">
            <w:pPr>
              <w:pStyle w:val="TableBodyText"/>
              <w:rPr>
                <w:sz w:val="24"/>
                <w:szCs w:val="24"/>
              </w:rPr>
            </w:pPr>
            <w:r w:rsidRPr="00D603EF">
              <w:rPr>
                <w:sz w:val="24"/>
                <w:szCs w:val="24"/>
              </w:rPr>
              <w:t>Section/Unit/School</w:t>
            </w:r>
          </w:p>
        </w:tc>
        <w:tc>
          <w:tcPr>
            <w:tcW w:w="6540" w:type="dxa"/>
            <w:gridSpan w:val="2"/>
          </w:tcPr>
          <w:p w14:paraId="7B261FC2" w14:textId="3CF33D48" w:rsidR="00D2771F" w:rsidRPr="00C80E54" w:rsidRDefault="009513AA" w:rsidP="00D2771F">
            <w:pPr>
              <w:pStyle w:val="TableBodyText"/>
              <w:rPr>
                <w:sz w:val="24"/>
                <w:szCs w:val="24"/>
              </w:rPr>
            </w:pPr>
            <w:r w:rsidRPr="00C80E54">
              <w:rPr>
                <w:rFonts w:eastAsia="Times New Roman" w:cs="Arial"/>
                <w:bCs/>
                <w:sz w:val="24"/>
                <w:szCs w:val="24"/>
              </w:rPr>
              <w:t>NA</w:t>
            </w:r>
          </w:p>
        </w:tc>
      </w:tr>
      <w:tr w:rsidR="00D2771F" w14:paraId="0DDCDFAC" w14:textId="77777777" w:rsidTr="00D2771F">
        <w:trPr>
          <w:trHeight w:val="362"/>
        </w:trPr>
        <w:tc>
          <w:tcPr>
            <w:tcW w:w="3152" w:type="dxa"/>
          </w:tcPr>
          <w:p w14:paraId="2D7A0DA5" w14:textId="77777777" w:rsidR="00D2771F" w:rsidRPr="00D603EF" w:rsidRDefault="00D2771F" w:rsidP="00D2771F">
            <w:pPr>
              <w:pStyle w:val="TableBodyText"/>
              <w:rPr>
                <w:sz w:val="24"/>
                <w:szCs w:val="24"/>
              </w:rPr>
            </w:pPr>
            <w:r w:rsidRPr="00D603EF">
              <w:rPr>
                <w:sz w:val="24"/>
                <w:szCs w:val="24"/>
              </w:rPr>
              <w:t>Supervisor</w:t>
            </w:r>
          </w:p>
        </w:tc>
        <w:tc>
          <w:tcPr>
            <w:tcW w:w="6540" w:type="dxa"/>
            <w:gridSpan w:val="2"/>
          </w:tcPr>
          <w:p w14:paraId="3E6A44C4" w14:textId="29C5E7D5" w:rsidR="00D2771F" w:rsidRPr="00C80E54" w:rsidRDefault="009513AA" w:rsidP="00D2771F">
            <w:pPr>
              <w:pStyle w:val="TableBodyText"/>
              <w:rPr>
                <w:sz w:val="24"/>
                <w:szCs w:val="24"/>
              </w:rPr>
            </w:pPr>
            <w:r w:rsidRPr="00C80E54">
              <w:rPr>
                <w:sz w:val="24"/>
                <w:szCs w:val="24"/>
              </w:rPr>
              <w:t>Operations Manager</w:t>
            </w:r>
          </w:p>
        </w:tc>
      </w:tr>
      <w:tr w:rsidR="00D2771F" w14:paraId="432CBDA4"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6D7D77CA" w14:textId="77777777" w:rsidR="00D2771F" w:rsidRPr="00D603EF" w:rsidRDefault="00D2771F" w:rsidP="00D2771F">
            <w:pPr>
              <w:pStyle w:val="TableBodyText"/>
              <w:rPr>
                <w:sz w:val="24"/>
                <w:szCs w:val="24"/>
              </w:rPr>
            </w:pPr>
            <w:r w:rsidRPr="00D603EF">
              <w:rPr>
                <w:sz w:val="24"/>
                <w:szCs w:val="24"/>
              </w:rPr>
              <w:t>Award/Agreement</w:t>
            </w:r>
          </w:p>
        </w:tc>
        <w:tc>
          <w:tcPr>
            <w:tcW w:w="6540" w:type="dxa"/>
            <w:gridSpan w:val="2"/>
          </w:tcPr>
          <w:sdt>
            <w:sdtPr>
              <w:rPr>
                <w:rFonts w:eastAsia="Times New Roman" w:cs="Arial"/>
                <w:bCs/>
                <w:sz w:val="24"/>
                <w:szCs w:val="24"/>
              </w:rPr>
              <w:id w:val="1431852964"/>
              <w:placeholder>
                <w:docPart w:val="C19BD62EDD264C728CF3B5DF29542BBD"/>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Award" w:value="Teaching Service (Tasmanian Public Sector) Award"/>
                <w:listItem w:displayText="Tasmanian Assessment, Standards and Certification (Fees) Regulations 2023 (TASC Regulations)" w:value="Tasmanian Assessment, Standards and Certification (Fees) Regulations 2023 (TASC Regulations)"/>
              </w:dropDownList>
            </w:sdtPr>
            <w:sdtContent>
              <w:p w14:paraId="016963F7" w14:textId="5F5373B9" w:rsidR="00D2771F" w:rsidRPr="00C80E54" w:rsidRDefault="009513AA" w:rsidP="00D2771F">
                <w:pPr>
                  <w:pStyle w:val="TableBodyText"/>
                  <w:rPr>
                    <w:sz w:val="24"/>
                    <w:szCs w:val="24"/>
                  </w:rPr>
                </w:pPr>
                <w:r w:rsidRPr="00C80E54">
                  <w:rPr>
                    <w:rFonts w:eastAsia="Times New Roman" w:cs="Arial"/>
                    <w:bCs/>
                    <w:sz w:val="24"/>
                    <w:szCs w:val="24"/>
                  </w:rPr>
                  <w:t>Health and Human Services (Tasmanian State Service) Award</w:t>
                </w:r>
              </w:p>
            </w:sdtContent>
          </w:sdt>
        </w:tc>
      </w:tr>
      <w:tr w:rsidR="00D2771F" w14:paraId="48F5609E" w14:textId="77777777" w:rsidTr="00D2771F">
        <w:trPr>
          <w:trHeight w:val="362"/>
        </w:trPr>
        <w:tc>
          <w:tcPr>
            <w:tcW w:w="3152" w:type="dxa"/>
          </w:tcPr>
          <w:p w14:paraId="26741E4A" w14:textId="77777777" w:rsidR="00D2771F" w:rsidRPr="00D603EF" w:rsidRDefault="00D2771F" w:rsidP="00D2771F">
            <w:pPr>
              <w:pStyle w:val="TableBodyText"/>
              <w:rPr>
                <w:sz w:val="24"/>
                <w:szCs w:val="24"/>
              </w:rPr>
            </w:pPr>
            <w:r w:rsidRPr="00D603EF">
              <w:rPr>
                <w:sz w:val="24"/>
                <w:szCs w:val="24"/>
              </w:rPr>
              <w:t>Classification</w:t>
            </w:r>
          </w:p>
        </w:tc>
        <w:tc>
          <w:tcPr>
            <w:tcW w:w="6540" w:type="dxa"/>
            <w:gridSpan w:val="2"/>
          </w:tcPr>
          <w:p w14:paraId="4FBAB66D" w14:textId="11D8949D" w:rsidR="00D2771F" w:rsidRPr="00C80E54" w:rsidRDefault="009513AA" w:rsidP="00D2771F">
            <w:pPr>
              <w:pStyle w:val="TableBodyText"/>
              <w:rPr>
                <w:sz w:val="24"/>
                <w:szCs w:val="24"/>
              </w:rPr>
            </w:pPr>
            <w:r w:rsidRPr="00C80E54">
              <w:rPr>
                <w:rFonts w:eastAsia="Times New Roman" w:cs="Arial"/>
                <w:bCs/>
                <w:sz w:val="24"/>
                <w:szCs w:val="24"/>
              </w:rPr>
              <w:t>General Stream Band 5</w:t>
            </w:r>
          </w:p>
        </w:tc>
      </w:tr>
      <w:tr w:rsidR="004C4F86" w14:paraId="6997F599" w14:textId="77777777" w:rsidTr="00A42CE8">
        <w:trPr>
          <w:cnfStyle w:val="000000010000" w:firstRow="0" w:lastRow="0" w:firstColumn="0" w:lastColumn="0" w:oddVBand="0" w:evenVBand="0" w:oddHBand="0" w:evenHBand="1" w:firstRowFirstColumn="0" w:firstRowLastColumn="0" w:lastRowFirstColumn="0" w:lastRowLastColumn="0"/>
          <w:trHeight w:val="523"/>
        </w:trPr>
        <w:tc>
          <w:tcPr>
            <w:tcW w:w="3152" w:type="dxa"/>
          </w:tcPr>
          <w:p w14:paraId="08887241" w14:textId="77777777" w:rsidR="009D6E8A" w:rsidRPr="00D603EF" w:rsidRDefault="009D6E8A" w:rsidP="00C13D8F">
            <w:pPr>
              <w:pStyle w:val="TableBodyText"/>
              <w:rPr>
                <w:sz w:val="24"/>
                <w:szCs w:val="24"/>
              </w:rPr>
            </w:pPr>
            <w:r w:rsidRPr="00D603EF">
              <w:rPr>
                <w:sz w:val="24"/>
                <w:szCs w:val="24"/>
              </w:rPr>
              <w:t>Employment Conditions</w:t>
            </w:r>
          </w:p>
        </w:tc>
        <w:tc>
          <w:tcPr>
            <w:tcW w:w="6540" w:type="dxa"/>
            <w:gridSpan w:val="2"/>
          </w:tcPr>
          <w:p w14:paraId="471772B2" w14:textId="170F0C84" w:rsidR="009D6E8A" w:rsidRPr="00C80E54" w:rsidRDefault="00000000" w:rsidP="00BF7FC7">
            <w:pPr>
              <w:rPr>
                <w:sz w:val="24"/>
                <w:szCs w:val="24"/>
              </w:rPr>
            </w:pPr>
            <w:sdt>
              <w:sdtPr>
                <w:rPr>
                  <w:rStyle w:val="PlaceholderText"/>
                  <w:color w:val="auto"/>
                  <w:sz w:val="24"/>
                  <w:szCs w:val="24"/>
                </w:rPr>
                <w:id w:val="86980238"/>
                <w:placeholder>
                  <w:docPart w:val="E88F4EDCDA0B43D5948FBF886D6521B9"/>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comboBox>
              </w:sdtPr>
              <w:sdtContent>
                <w:r w:rsidR="00A42CE8" w:rsidRPr="00C80E54">
                  <w:rPr>
                    <w:rStyle w:val="PlaceholderText"/>
                    <w:color w:val="auto"/>
                    <w:sz w:val="24"/>
                    <w:szCs w:val="24"/>
                  </w:rPr>
                  <w:t>Permanent, Full-time/Part-time</w:t>
                </w:r>
              </w:sdtContent>
            </w:sdt>
          </w:p>
        </w:tc>
      </w:tr>
      <w:tr w:rsidR="00D2771F" w14:paraId="40A203E8" w14:textId="77777777" w:rsidTr="00D2771F">
        <w:trPr>
          <w:trHeight w:val="362"/>
        </w:trPr>
        <w:tc>
          <w:tcPr>
            <w:tcW w:w="3152" w:type="dxa"/>
          </w:tcPr>
          <w:p w14:paraId="05B5CDBF" w14:textId="77777777" w:rsidR="00D2771F" w:rsidRPr="00D603EF" w:rsidRDefault="00D2771F" w:rsidP="00D2771F">
            <w:pPr>
              <w:pStyle w:val="TableBodyText"/>
              <w:rPr>
                <w:sz w:val="24"/>
                <w:szCs w:val="24"/>
              </w:rPr>
            </w:pPr>
            <w:r w:rsidRPr="00D603EF">
              <w:rPr>
                <w:sz w:val="24"/>
                <w:szCs w:val="24"/>
              </w:rPr>
              <w:t>Location</w:t>
            </w:r>
          </w:p>
        </w:tc>
        <w:tc>
          <w:tcPr>
            <w:tcW w:w="6540" w:type="dxa"/>
            <w:gridSpan w:val="2"/>
          </w:tcPr>
          <w:p w14:paraId="2AA2BFBA" w14:textId="4FAED9D6" w:rsidR="00D2771F" w:rsidRPr="00C80E54" w:rsidRDefault="00000000" w:rsidP="00D2771F">
            <w:pPr>
              <w:pStyle w:val="TableBodyText"/>
              <w:rPr>
                <w:sz w:val="24"/>
                <w:szCs w:val="24"/>
              </w:rPr>
            </w:pPr>
            <w:sdt>
              <w:sdtPr>
                <w:rPr>
                  <w:rFonts w:eastAsia="Times New Roman"/>
                  <w:sz w:val="24"/>
                  <w:szCs w:val="24"/>
                </w:rPr>
                <w:id w:val="-787747809"/>
                <w:placeholder>
                  <w:docPart w:val="B667A434271E4792B21EC2D0B053538F"/>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Content>
                <w:r w:rsidR="004233FF" w:rsidRPr="00C80E54">
                  <w:rPr>
                    <w:rFonts w:eastAsia="Times New Roman"/>
                    <w:sz w:val="24"/>
                    <w:szCs w:val="24"/>
                  </w:rPr>
                  <w:t>North</w:t>
                </w:r>
              </w:sdtContent>
            </w:sdt>
            <w:r w:rsidR="008C241C" w:rsidRPr="00C80E54">
              <w:rPr>
                <w:rFonts w:eastAsia="Times New Roman"/>
                <w:sz w:val="24"/>
                <w:szCs w:val="24"/>
              </w:rPr>
              <w:t xml:space="preserve"> </w:t>
            </w:r>
          </w:p>
        </w:tc>
      </w:tr>
      <w:tr w:rsidR="00D2771F" w14:paraId="5F9A5F58"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227CC41C" w14:textId="77777777" w:rsidR="00D2771F" w:rsidRPr="00D603EF" w:rsidRDefault="00D2771F" w:rsidP="00D2771F">
            <w:pPr>
              <w:pStyle w:val="TableBodyText"/>
              <w:rPr>
                <w:sz w:val="24"/>
                <w:szCs w:val="24"/>
              </w:rPr>
            </w:pPr>
            <w:r w:rsidRPr="00D603EF">
              <w:rPr>
                <w:sz w:val="24"/>
                <w:szCs w:val="24"/>
              </w:rPr>
              <w:t>Check Type</w:t>
            </w:r>
          </w:p>
        </w:tc>
        <w:tc>
          <w:tcPr>
            <w:tcW w:w="6540" w:type="dxa"/>
            <w:gridSpan w:val="2"/>
          </w:tcPr>
          <w:p w14:paraId="277C1E12" w14:textId="68DAAF8F" w:rsidR="00D2771F" w:rsidRPr="00C80E54" w:rsidRDefault="00000000" w:rsidP="00D2771F">
            <w:pPr>
              <w:pStyle w:val="TableBodyText"/>
              <w:rPr>
                <w:sz w:val="24"/>
                <w:szCs w:val="24"/>
              </w:rPr>
            </w:pPr>
            <w:sdt>
              <w:sdtPr>
                <w:rPr>
                  <w:rFonts w:eastAsia="Times New Roman"/>
                  <w:sz w:val="24"/>
                  <w:szCs w:val="24"/>
                </w:rPr>
                <w:id w:val="331334461"/>
                <w:placeholder>
                  <w:docPart w:val="C19BD62EDD264C728CF3B5DF29542BBD"/>
                </w:placeholder>
                <w:dropDownList>
                  <w:listItem w:value="Choose an item."/>
                  <w:listItem w:displayText="Annulled" w:value="Annulled"/>
                  <w:listItem w:displayText="Schedule 1" w:value="Schedule 1"/>
                </w:dropDownList>
              </w:sdtPr>
              <w:sdtContent>
                <w:r w:rsidR="000F7D63" w:rsidRPr="00C80E54">
                  <w:rPr>
                    <w:rFonts w:eastAsia="Times New Roman"/>
                    <w:sz w:val="24"/>
                    <w:szCs w:val="24"/>
                  </w:rPr>
                  <w:t>Annulled</w:t>
                </w:r>
              </w:sdtContent>
            </w:sdt>
            <w:r w:rsidR="008C241C" w:rsidRPr="00C80E54">
              <w:rPr>
                <w:rFonts w:eastAsia="Times New Roman"/>
                <w:sz w:val="24"/>
                <w:szCs w:val="24"/>
              </w:rPr>
              <w:t xml:space="preserve"> </w:t>
            </w:r>
          </w:p>
        </w:tc>
      </w:tr>
      <w:tr w:rsidR="00D2771F" w14:paraId="69C8ABFD" w14:textId="77777777" w:rsidTr="00D2771F">
        <w:trPr>
          <w:trHeight w:val="362"/>
        </w:trPr>
        <w:tc>
          <w:tcPr>
            <w:tcW w:w="3152" w:type="dxa"/>
          </w:tcPr>
          <w:p w14:paraId="4048A5C2" w14:textId="77777777" w:rsidR="00D2771F" w:rsidRPr="00D603EF" w:rsidRDefault="00D2771F" w:rsidP="00D2771F">
            <w:pPr>
              <w:pStyle w:val="TableBodyText"/>
              <w:rPr>
                <w:sz w:val="24"/>
                <w:szCs w:val="24"/>
              </w:rPr>
            </w:pPr>
            <w:r w:rsidRPr="00D603EF">
              <w:rPr>
                <w:sz w:val="24"/>
                <w:szCs w:val="24"/>
              </w:rPr>
              <w:t>Check Frequency</w:t>
            </w:r>
          </w:p>
        </w:tc>
        <w:tc>
          <w:tcPr>
            <w:tcW w:w="6540" w:type="dxa"/>
            <w:gridSpan w:val="2"/>
          </w:tcPr>
          <w:p w14:paraId="3E0BE7CE" w14:textId="5704A92B" w:rsidR="00D2771F" w:rsidRPr="00C80E54" w:rsidRDefault="00000000" w:rsidP="00D2771F">
            <w:pPr>
              <w:pStyle w:val="TableBodyText"/>
              <w:rPr>
                <w:rFonts w:eastAsia="Times New Roman"/>
                <w:sz w:val="24"/>
                <w:szCs w:val="24"/>
              </w:rPr>
            </w:pPr>
            <w:sdt>
              <w:sdtPr>
                <w:rPr>
                  <w:rFonts w:eastAsia="Times New Roman"/>
                  <w:sz w:val="24"/>
                  <w:szCs w:val="24"/>
                </w:rPr>
                <w:id w:val="2123720829"/>
                <w:placeholder>
                  <w:docPart w:val="C19BD62EDD264C728CF3B5DF29542BBD"/>
                </w:placeholder>
                <w:dropDownList>
                  <w:listItem w:value="Choose an item."/>
                  <w:listItem w:displayText="Pre-employment" w:value="Pre-employment"/>
                  <w:listItem w:displayText="Pre-employment and Recurrent" w:value="Pre-employment and Recurrent"/>
                </w:dropDownList>
              </w:sdtPr>
              <w:sdtContent>
                <w:r w:rsidR="000F7D63" w:rsidRPr="00C80E54">
                  <w:rPr>
                    <w:rFonts w:eastAsia="Times New Roman"/>
                    <w:sz w:val="24"/>
                    <w:szCs w:val="24"/>
                  </w:rPr>
                  <w:t>Pre-employment</w:t>
                </w:r>
              </w:sdtContent>
            </w:sdt>
            <w:r w:rsidR="008C241C" w:rsidRPr="00C80E54">
              <w:rPr>
                <w:rFonts w:eastAsia="Times New Roman"/>
                <w:sz w:val="24"/>
                <w:szCs w:val="24"/>
              </w:rPr>
              <w:t xml:space="preserve"> </w:t>
            </w:r>
          </w:p>
        </w:tc>
      </w:tr>
    </w:tbl>
    <w:p w14:paraId="527B072A" w14:textId="77777777" w:rsidR="00D2771F" w:rsidRDefault="00D2771F" w:rsidP="00697DE2">
      <w:pPr>
        <w:pStyle w:val="Heading2"/>
      </w:pPr>
      <w:r>
        <w:t>Context</w:t>
      </w:r>
    </w:p>
    <w:p w14:paraId="6D97712B" w14:textId="7AE79B65" w:rsidR="00684911" w:rsidRPr="009F24BA" w:rsidRDefault="00684911" w:rsidP="00A33B57">
      <w:pPr>
        <w:pStyle w:val="Heading2"/>
        <w:jc w:val="both"/>
        <w:rPr>
          <w:rFonts w:eastAsia="Times New Roman"/>
          <w:color w:val="auto"/>
          <w:sz w:val="24"/>
          <w:szCs w:val="24"/>
        </w:rPr>
      </w:pPr>
      <w:r w:rsidRPr="009F24BA">
        <w:rPr>
          <w:rFonts w:eastAsia="Times New Roman"/>
          <w:color w:val="auto"/>
          <w:sz w:val="24"/>
          <w:szCs w:val="24"/>
        </w:rPr>
        <w:t>Department for Education Children and Young People</w:t>
      </w:r>
      <w:r>
        <w:rPr>
          <w:rFonts w:eastAsia="Times New Roman"/>
          <w:color w:val="auto"/>
          <w:sz w:val="24"/>
          <w:szCs w:val="24"/>
        </w:rPr>
        <w:t xml:space="preserve"> (DECYP)</w:t>
      </w:r>
      <w:r w:rsidRPr="009F24BA">
        <w:rPr>
          <w:rFonts w:eastAsia="Times New Roman"/>
          <w:color w:val="auto"/>
          <w:sz w:val="24"/>
          <w:szCs w:val="24"/>
        </w:rPr>
        <w:t xml:space="preserve"> </w:t>
      </w:r>
      <w:proofErr w:type="gramStart"/>
      <w:r w:rsidRPr="009F24BA">
        <w:rPr>
          <w:rFonts w:eastAsia="Times New Roman"/>
          <w:color w:val="auto"/>
          <w:sz w:val="24"/>
          <w:szCs w:val="24"/>
        </w:rPr>
        <w:t>brings</w:t>
      </w:r>
      <w:proofErr w:type="gramEnd"/>
      <w:r w:rsidRPr="009F24BA">
        <w:rPr>
          <w:rFonts w:eastAsia="Times New Roman"/>
          <w:color w:val="auto"/>
          <w:sz w:val="24"/>
          <w:szCs w:val="24"/>
        </w:rPr>
        <w:t xml:space="preserve"> together a range of functions, programs and initiatives aimed at enhancing and improving the lives of all Tasmanians. To create strong, inclusive and proud communities the Department will collaborate with our community-based partners to empower individuals and families throughout Tasmania to lead fulfilling lives.  </w:t>
      </w:r>
    </w:p>
    <w:p w14:paraId="65DD7621" w14:textId="17B80AE4" w:rsidR="00684911" w:rsidRDefault="00684911" w:rsidP="00A33B57">
      <w:pPr>
        <w:pStyle w:val="Heading2"/>
        <w:jc w:val="both"/>
        <w:rPr>
          <w:rFonts w:eastAsia="Times New Roman"/>
          <w:color w:val="auto"/>
          <w:sz w:val="24"/>
          <w:szCs w:val="24"/>
        </w:rPr>
      </w:pPr>
      <w:r>
        <w:rPr>
          <w:rFonts w:eastAsia="Times New Roman"/>
          <w:color w:val="auto"/>
          <w:sz w:val="24"/>
          <w:szCs w:val="24"/>
        </w:rPr>
        <w:t>DECYP</w:t>
      </w:r>
      <w:r w:rsidRPr="009F24BA">
        <w:rPr>
          <w:rFonts w:eastAsia="Times New Roman"/>
          <w:color w:val="auto"/>
          <w:sz w:val="24"/>
          <w:szCs w:val="24"/>
        </w:rPr>
        <w:t xml:space="preserve"> </w:t>
      </w:r>
      <w:r w:rsidRPr="009F24BA">
        <w:rPr>
          <w:rFonts w:eastAsia="Times New Roman"/>
          <w:color w:val="auto"/>
          <w:sz w:val="24"/>
          <w:szCs w:val="24"/>
        </w:rPr>
        <w:t xml:space="preserve">provides opportunities for all Tasmanians to participate in community life and sport and recreation; supports, protects and nurtures vulnerable children, young people and their families; delivers and facilitates specialist disability services; and provides services to support social and affordable housing. The services of </w:t>
      </w:r>
      <w:r>
        <w:rPr>
          <w:rFonts w:eastAsia="Times New Roman"/>
          <w:color w:val="auto"/>
          <w:sz w:val="24"/>
          <w:szCs w:val="24"/>
        </w:rPr>
        <w:t>DECYP</w:t>
      </w:r>
      <w:r w:rsidRPr="009F24BA">
        <w:rPr>
          <w:rFonts w:eastAsia="Times New Roman"/>
          <w:color w:val="auto"/>
          <w:sz w:val="24"/>
          <w:szCs w:val="24"/>
        </w:rPr>
        <w:t xml:space="preserve"> </w:t>
      </w:r>
      <w:r w:rsidRPr="009F24BA">
        <w:rPr>
          <w:rFonts w:eastAsia="Times New Roman"/>
          <w:color w:val="auto"/>
          <w:sz w:val="24"/>
          <w:szCs w:val="24"/>
        </w:rPr>
        <w:t>are based in all major centres throughout Tasmania, therefore some roles may require intrastate travel.</w:t>
      </w:r>
    </w:p>
    <w:p w14:paraId="5D0B9A01" w14:textId="3DABD79E" w:rsidR="00184C8F" w:rsidRDefault="00A1097B">
      <w:pPr>
        <w:rPr>
          <w:rFonts w:asciiTheme="majorHAnsi" w:eastAsiaTheme="majorEastAsia" w:hAnsiTheme="majorHAnsi" w:cstheme="majorBidi"/>
          <w:sz w:val="24"/>
          <w:szCs w:val="24"/>
        </w:rPr>
      </w:pPr>
      <w:r>
        <w:rPr>
          <w:sz w:val="24"/>
          <w:szCs w:val="24"/>
        </w:rPr>
        <w:t>DECYP</w:t>
      </w:r>
      <w:r w:rsidRPr="009F24BA">
        <w:rPr>
          <w:sz w:val="24"/>
          <w:szCs w:val="24"/>
        </w:rPr>
        <w:t xml:space="preserve"> </w:t>
      </w:r>
      <w:r w:rsidRPr="009F24BA">
        <w:rPr>
          <w:rFonts w:eastAsia="Times New Roman"/>
          <w:sz w:val="24"/>
          <w:szCs w:val="24"/>
        </w:rPr>
        <w:t xml:space="preserve">creates an environment where children’s safety and wellbeing </w:t>
      </w:r>
      <w:proofErr w:type="gramStart"/>
      <w:r w:rsidRPr="009F24BA">
        <w:rPr>
          <w:rFonts w:eastAsia="Times New Roman"/>
          <w:sz w:val="24"/>
          <w:szCs w:val="24"/>
        </w:rPr>
        <w:t>is</w:t>
      </w:r>
      <w:proofErr w:type="gramEnd"/>
      <w:r w:rsidRPr="009F24BA">
        <w:rPr>
          <w:rFonts w:eastAsia="Times New Roman"/>
          <w:sz w:val="24"/>
          <w:szCs w:val="24"/>
        </w:rPr>
        <w:t xml:space="preserve"> the centre of thought, values and action - we are responsive to the needs of families and communities that we engage with.  We are a child safe organisation that puts the safety of children and young people first, creating a culture, adopting strategies and taking action to promote child wellbeing and prevent harm to children and young people</w:t>
      </w:r>
      <w:r>
        <w:rPr>
          <w:rFonts w:eastAsia="Times New Roman"/>
          <w:sz w:val="24"/>
          <w:szCs w:val="24"/>
        </w:rPr>
        <w:t>.</w:t>
      </w:r>
    </w:p>
    <w:p w14:paraId="18A55C7D" w14:textId="77777777" w:rsidR="009D6E8A" w:rsidRPr="00190B67" w:rsidRDefault="009D6E8A" w:rsidP="00697DE2">
      <w:pPr>
        <w:pStyle w:val="Heading2"/>
      </w:pPr>
      <w:r w:rsidRPr="00190B67">
        <w:lastRenderedPageBreak/>
        <w:t>Primary Purpose</w:t>
      </w:r>
    </w:p>
    <w:p w14:paraId="68DF51F2" w14:textId="77777777" w:rsidR="00A06E21" w:rsidRPr="00B006B2" w:rsidRDefault="00A06E21" w:rsidP="00A06E21">
      <w:pPr>
        <w:numPr>
          <w:ilvl w:val="0"/>
          <w:numId w:val="40"/>
        </w:numPr>
        <w:spacing w:line="300" w:lineRule="atLeast"/>
        <w:ind w:left="567" w:hanging="567"/>
        <w:jc w:val="both"/>
        <w:rPr>
          <w:rFonts w:cs="Tahoma"/>
          <w:sz w:val="24"/>
          <w:szCs w:val="24"/>
        </w:rPr>
      </w:pPr>
      <w:r w:rsidRPr="00B006B2">
        <w:rPr>
          <w:rFonts w:cs="Tahoma"/>
          <w:sz w:val="24"/>
          <w:szCs w:val="24"/>
        </w:rPr>
        <w:t>Ensure that all client services and programs are undertaken in a therapeutic, safe and secure environment and conform to Agency principles, practices, standards and legislation relevant to youth justice services.</w:t>
      </w:r>
    </w:p>
    <w:p w14:paraId="5A57A43A" w14:textId="77777777" w:rsidR="00A06E21" w:rsidRPr="00B006B2" w:rsidRDefault="00A06E21" w:rsidP="00A06E21">
      <w:pPr>
        <w:numPr>
          <w:ilvl w:val="0"/>
          <w:numId w:val="40"/>
        </w:numPr>
        <w:spacing w:line="300" w:lineRule="atLeast"/>
        <w:ind w:left="567" w:hanging="567"/>
        <w:jc w:val="both"/>
        <w:rPr>
          <w:rFonts w:cs="Tahoma"/>
          <w:sz w:val="24"/>
          <w:szCs w:val="24"/>
        </w:rPr>
      </w:pPr>
      <w:r w:rsidRPr="00B006B2">
        <w:rPr>
          <w:sz w:val="24"/>
          <w:szCs w:val="24"/>
        </w:rPr>
        <w:t>Participate in the development, promotion and implementation of operational standards and practices for youth justice services.</w:t>
      </w:r>
    </w:p>
    <w:p w14:paraId="6F4433D0" w14:textId="77777777" w:rsidR="00A06E21" w:rsidRPr="00B006B2" w:rsidRDefault="00A06E21" w:rsidP="00A06E21">
      <w:pPr>
        <w:numPr>
          <w:ilvl w:val="0"/>
          <w:numId w:val="40"/>
        </w:numPr>
        <w:spacing w:line="300" w:lineRule="atLeast"/>
        <w:ind w:left="567" w:hanging="567"/>
        <w:jc w:val="both"/>
        <w:rPr>
          <w:rFonts w:cs="Tahoma"/>
          <w:sz w:val="24"/>
          <w:szCs w:val="24"/>
        </w:rPr>
      </w:pPr>
      <w:r w:rsidRPr="00B006B2">
        <w:rPr>
          <w:rFonts w:cs="Tahoma"/>
          <w:sz w:val="24"/>
          <w:szCs w:val="24"/>
        </w:rPr>
        <w:t>Develop and contribute to an effective operational team environment through communication, support, mentoring, guidance and constructive feedback.</w:t>
      </w:r>
    </w:p>
    <w:p w14:paraId="26849E3D" w14:textId="77777777" w:rsidR="00A06E21" w:rsidRPr="00B006B2" w:rsidRDefault="00A06E21" w:rsidP="00A06E21">
      <w:pPr>
        <w:numPr>
          <w:ilvl w:val="0"/>
          <w:numId w:val="40"/>
        </w:numPr>
        <w:spacing w:line="300" w:lineRule="atLeast"/>
        <w:ind w:left="567" w:hanging="567"/>
        <w:jc w:val="both"/>
        <w:rPr>
          <w:rFonts w:cs="Tahoma"/>
          <w:sz w:val="24"/>
          <w:szCs w:val="24"/>
        </w:rPr>
      </w:pPr>
      <w:r w:rsidRPr="00B006B2">
        <w:rPr>
          <w:rFonts w:cs="Tahoma"/>
          <w:sz w:val="24"/>
          <w:szCs w:val="24"/>
        </w:rPr>
        <w:t>Provide leadership to youth workers that displays high levels of ethical and professional behaviour to ensure a safe, secure therapeutic care environment for young people and staff.</w:t>
      </w:r>
    </w:p>
    <w:p w14:paraId="353B8AC8" w14:textId="77777777" w:rsidR="009D6E8A" w:rsidRPr="00190B67" w:rsidRDefault="009D6E8A" w:rsidP="00697DE2">
      <w:pPr>
        <w:pStyle w:val="Heading2"/>
        <w:spacing w:before="120"/>
        <w:rPr>
          <w:color w:val="011947"/>
        </w:rPr>
      </w:pPr>
      <w:r w:rsidRPr="00190B67">
        <w:rPr>
          <w:color w:val="011947"/>
        </w:rPr>
        <w:t>Level of Responsibility/Direction and Supervision</w:t>
      </w:r>
    </w:p>
    <w:p w14:paraId="60E2B109" w14:textId="77777777" w:rsidR="00F371CF" w:rsidRPr="00F371CF" w:rsidRDefault="00F371CF" w:rsidP="00F371CF">
      <w:pPr>
        <w:pStyle w:val="BodyTextIndent2"/>
        <w:numPr>
          <w:ilvl w:val="0"/>
          <w:numId w:val="41"/>
        </w:numPr>
        <w:spacing w:before="0" w:line="300" w:lineRule="atLeast"/>
        <w:ind w:left="567" w:hanging="567"/>
        <w:jc w:val="both"/>
        <w:rPr>
          <w:rFonts w:asciiTheme="minorHAnsi" w:eastAsia="Times New Roman" w:hAnsiTheme="minorHAnsi" w:cstheme="minorBidi"/>
          <w:spacing w:val="0"/>
          <w:kern w:val="2"/>
          <w:sz w:val="24"/>
          <w:szCs w:val="24"/>
          <w14:ligatures w14:val="standardContextual"/>
        </w:rPr>
      </w:pPr>
      <w:bookmarkStart w:id="1" w:name="_Hlk127543251"/>
      <w:r w:rsidRPr="00F371CF">
        <w:rPr>
          <w:rFonts w:asciiTheme="minorHAnsi" w:eastAsia="Times New Roman" w:hAnsiTheme="minorHAnsi" w:cstheme="minorBidi"/>
          <w:spacing w:val="0"/>
          <w:kern w:val="2"/>
          <w:sz w:val="24"/>
          <w:szCs w:val="24"/>
          <w14:ligatures w14:val="standardContextual"/>
        </w:rPr>
        <w:t>Work will be undertaken under general supervision and direction from the Operations Manager. The occupant will be required to exercise judgement and initiative consistent with the possession of sound knowledge in this area.</w:t>
      </w:r>
    </w:p>
    <w:p w14:paraId="73AE892C" w14:textId="77777777" w:rsidR="00F371CF" w:rsidRPr="00F371CF" w:rsidRDefault="00F371CF" w:rsidP="00F371CF">
      <w:pPr>
        <w:pStyle w:val="BodyTextIndent2"/>
        <w:numPr>
          <w:ilvl w:val="0"/>
          <w:numId w:val="41"/>
        </w:numPr>
        <w:spacing w:before="0" w:line="300" w:lineRule="atLeast"/>
        <w:ind w:left="567" w:hanging="567"/>
        <w:jc w:val="both"/>
        <w:rPr>
          <w:rFonts w:asciiTheme="minorHAnsi" w:eastAsia="Times New Roman" w:hAnsiTheme="minorHAnsi" w:cstheme="minorBidi"/>
          <w:spacing w:val="0"/>
          <w:kern w:val="2"/>
          <w:sz w:val="24"/>
          <w:szCs w:val="24"/>
          <w14:ligatures w14:val="standardContextual"/>
        </w:rPr>
      </w:pPr>
      <w:r w:rsidRPr="00F371CF">
        <w:rPr>
          <w:rFonts w:asciiTheme="minorHAnsi" w:eastAsia="Times New Roman" w:hAnsiTheme="minorHAnsi" w:cstheme="minorBidi"/>
          <w:spacing w:val="0"/>
          <w:kern w:val="2"/>
          <w:sz w:val="24"/>
          <w:szCs w:val="24"/>
          <w14:ligatures w14:val="standardContextual"/>
        </w:rPr>
        <w:t>Provide leadership and support to Unit staff and ensure the effective management of financial and human resources.</w:t>
      </w:r>
    </w:p>
    <w:p w14:paraId="09D15433" w14:textId="77777777" w:rsidR="00F371CF" w:rsidRPr="00F371CF" w:rsidRDefault="00F371CF" w:rsidP="00F371CF">
      <w:pPr>
        <w:pStyle w:val="BodyTextIndent2"/>
        <w:numPr>
          <w:ilvl w:val="0"/>
          <w:numId w:val="41"/>
        </w:numPr>
        <w:spacing w:before="0" w:line="300" w:lineRule="atLeast"/>
        <w:ind w:left="567" w:hanging="567"/>
        <w:jc w:val="both"/>
        <w:rPr>
          <w:rFonts w:asciiTheme="minorHAnsi" w:eastAsia="Times New Roman" w:hAnsiTheme="minorHAnsi" w:cstheme="minorBidi"/>
          <w:spacing w:val="0"/>
          <w:kern w:val="2"/>
          <w:sz w:val="24"/>
          <w:szCs w:val="24"/>
          <w14:ligatures w14:val="standardContextual"/>
        </w:rPr>
      </w:pPr>
      <w:r w:rsidRPr="00F371CF">
        <w:rPr>
          <w:rFonts w:asciiTheme="minorHAnsi" w:eastAsia="Times New Roman" w:hAnsiTheme="minorHAnsi" w:cstheme="minorBidi"/>
          <w:spacing w:val="0"/>
          <w:kern w:val="2"/>
          <w:sz w:val="24"/>
          <w:szCs w:val="24"/>
          <w14:ligatures w14:val="standardContextual"/>
        </w:rPr>
        <w:t>Responsible for the provision of operational coordination and supervision of Youth Workers consistent with Centre policy, legislative requirements and Agency directives.</w:t>
      </w:r>
    </w:p>
    <w:p w14:paraId="3E97DBB4" w14:textId="77777777" w:rsidR="00F371CF" w:rsidRPr="00F371CF" w:rsidRDefault="00F371CF" w:rsidP="00F371CF">
      <w:pPr>
        <w:pStyle w:val="BodyTextIndent2"/>
        <w:numPr>
          <w:ilvl w:val="0"/>
          <w:numId w:val="41"/>
        </w:numPr>
        <w:spacing w:before="0" w:line="300" w:lineRule="atLeast"/>
        <w:ind w:left="567" w:hanging="567"/>
        <w:jc w:val="both"/>
        <w:rPr>
          <w:rFonts w:asciiTheme="minorHAnsi" w:eastAsia="Times New Roman" w:hAnsiTheme="minorHAnsi" w:cstheme="minorBidi"/>
          <w:spacing w:val="0"/>
          <w:kern w:val="2"/>
          <w:sz w:val="24"/>
          <w:szCs w:val="24"/>
          <w14:ligatures w14:val="standardContextual"/>
        </w:rPr>
      </w:pPr>
      <w:r w:rsidRPr="00F371CF">
        <w:rPr>
          <w:rFonts w:asciiTheme="minorHAnsi" w:eastAsia="Times New Roman" w:hAnsiTheme="minorHAnsi" w:cstheme="minorBidi"/>
          <w:spacing w:val="0"/>
          <w:kern w:val="2"/>
          <w:sz w:val="24"/>
          <w:szCs w:val="24"/>
          <w14:ligatures w14:val="standardContextual"/>
        </w:rPr>
        <w:t>Maintain the workplace to a standard that complies with the Work Health and Safety Act.</w:t>
      </w:r>
    </w:p>
    <w:p w14:paraId="29C04FC9" w14:textId="77777777" w:rsidR="00D2771F" w:rsidRPr="00B732A4" w:rsidRDefault="00D2771F" w:rsidP="00C80E54">
      <w:pPr>
        <w:jc w:val="both"/>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51C1A0EB" w14:textId="77777777" w:rsidR="00D2771F" w:rsidRPr="00611319" w:rsidRDefault="00D2771F" w:rsidP="00C80E54">
      <w:pPr>
        <w:jc w:val="both"/>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0C473B7B" w14:textId="77777777" w:rsidR="00D2771F" w:rsidRPr="00611319" w:rsidRDefault="00D2771F" w:rsidP="00C80E54">
      <w:pPr>
        <w:jc w:val="both"/>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5D253843" w14:textId="77777777" w:rsidR="00996D82" w:rsidRDefault="00996D82">
      <w:pPr>
        <w:rPr>
          <w:rFonts w:asciiTheme="majorHAnsi" w:eastAsiaTheme="majorEastAsia" w:hAnsiTheme="majorHAnsi" w:cstheme="majorBidi"/>
          <w:color w:val="011947"/>
          <w:sz w:val="32"/>
          <w:szCs w:val="26"/>
        </w:rPr>
      </w:pPr>
      <w:r>
        <w:rPr>
          <w:color w:val="011947"/>
        </w:rPr>
        <w:br w:type="page"/>
      </w:r>
    </w:p>
    <w:p w14:paraId="2DEB8BAE" w14:textId="6FE91DB2" w:rsidR="001733FD" w:rsidRDefault="009D6E8A" w:rsidP="00697DE2">
      <w:pPr>
        <w:pStyle w:val="Heading2"/>
        <w:rPr>
          <w:color w:val="011947"/>
        </w:rPr>
      </w:pPr>
      <w:r w:rsidRPr="00190B67">
        <w:rPr>
          <w:color w:val="011947"/>
        </w:rPr>
        <w:lastRenderedPageBreak/>
        <w:t>Primary Duties</w:t>
      </w:r>
    </w:p>
    <w:p w14:paraId="67D9016D" w14:textId="77777777" w:rsidR="00D2771F" w:rsidRDefault="00D2771F" w:rsidP="00697DE2">
      <w:pPr>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2A08A4D0" wp14:editId="28A791C3">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F0D856"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46D1976E" w14:textId="77777777" w:rsidR="00DE74F3" w:rsidRPr="00A94677" w:rsidRDefault="00DE74F3" w:rsidP="00DE74F3">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sz w:val="24"/>
          <w:szCs w:val="24"/>
        </w:rPr>
      </w:pPr>
      <w:r w:rsidRPr="00A94677">
        <w:rPr>
          <w:sz w:val="24"/>
          <w:szCs w:val="24"/>
        </w:rPr>
        <w:t xml:space="preserve">Coordinate and monitor the delivery of </w:t>
      </w:r>
      <w:r>
        <w:rPr>
          <w:sz w:val="24"/>
          <w:szCs w:val="24"/>
        </w:rPr>
        <w:t xml:space="preserve">therapeutic </w:t>
      </w:r>
      <w:r w:rsidRPr="00A94677">
        <w:rPr>
          <w:sz w:val="24"/>
          <w:szCs w:val="24"/>
        </w:rPr>
        <w:t xml:space="preserve">intervention strategies ensuring that activities comply with approved client case management plans and behaviour </w:t>
      </w:r>
      <w:r>
        <w:rPr>
          <w:sz w:val="24"/>
          <w:szCs w:val="24"/>
        </w:rPr>
        <w:t>incentive</w:t>
      </w:r>
      <w:r w:rsidRPr="00A94677">
        <w:rPr>
          <w:sz w:val="24"/>
          <w:szCs w:val="24"/>
        </w:rPr>
        <w:t xml:space="preserve"> tools.</w:t>
      </w:r>
    </w:p>
    <w:p w14:paraId="71AB3298" w14:textId="77777777" w:rsidR="00DE74F3" w:rsidRPr="00A94677" w:rsidRDefault="00DE74F3" w:rsidP="00DE74F3">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sz w:val="24"/>
          <w:szCs w:val="24"/>
        </w:rPr>
      </w:pPr>
      <w:r w:rsidRPr="00A94677">
        <w:rPr>
          <w:sz w:val="24"/>
          <w:szCs w:val="24"/>
        </w:rPr>
        <w:t>Provide supervision and performance development to youth workers to maximise the development and appropriate skill mix of staff within a team environment</w:t>
      </w:r>
      <w:r>
        <w:rPr>
          <w:sz w:val="24"/>
          <w:szCs w:val="24"/>
        </w:rPr>
        <w:t xml:space="preserve">.  Support the ongoing learning and practice development of trauma informed responses to young person’s behaviour </w:t>
      </w:r>
      <w:r w:rsidRPr="00A94677">
        <w:rPr>
          <w:sz w:val="24"/>
          <w:szCs w:val="24"/>
        </w:rPr>
        <w:t xml:space="preserve">and </w:t>
      </w:r>
      <w:r>
        <w:rPr>
          <w:sz w:val="24"/>
          <w:szCs w:val="24"/>
        </w:rPr>
        <w:t xml:space="preserve">the </w:t>
      </w:r>
      <w:r w:rsidRPr="00A94677">
        <w:rPr>
          <w:sz w:val="24"/>
          <w:szCs w:val="24"/>
        </w:rPr>
        <w:t>promot</w:t>
      </w:r>
      <w:r>
        <w:rPr>
          <w:sz w:val="24"/>
          <w:szCs w:val="24"/>
        </w:rPr>
        <w:t>ion of</w:t>
      </w:r>
      <w:r w:rsidRPr="00A94677">
        <w:rPr>
          <w:sz w:val="24"/>
          <w:szCs w:val="24"/>
        </w:rPr>
        <w:t xml:space="preserve"> positive outcomes for young people in custody.</w:t>
      </w:r>
    </w:p>
    <w:p w14:paraId="4FC0F70A" w14:textId="77777777" w:rsidR="00DE74F3" w:rsidRPr="00A94677" w:rsidRDefault="00DE74F3" w:rsidP="00DE74F3">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sz w:val="24"/>
          <w:szCs w:val="24"/>
        </w:rPr>
      </w:pPr>
      <w:r w:rsidRPr="00A94677">
        <w:rPr>
          <w:sz w:val="24"/>
          <w:szCs w:val="24"/>
        </w:rPr>
        <w:t xml:space="preserve">Ensure transparency of practice and continuity of service through </w:t>
      </w:r>
      <w:r>
        <w:rPr>
          <w:sz w:val="24"/>
          <w:szCs w:val="24"/>
        </w:rPr>
        <w:t xml:space="preserve">continuous improvement, </w:t>
      </w:r>
      <w:r w:rsidRPr="00A94677">
        <w:rPr>
          <w:sz w:val="24"/>
          <w:szCs w:val="24"/>
        </w:rPr>
        <w:t>and evaluation of staff performance.</w:t>
      </w:r>
    </w:p>
    <w:p w14:paraId="560B1F71" w14:textId="77777777" w:rsidR="000838F8" w:rsidRPr="00A94677" w:rsidRDefault="000838F8" w:rsidP="000838F8">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sz w:val="24"/>
          <w:szCs w:val="24"/>
        </w:rPr>
      </w:pPr>
      <w:r w:rsidRPr="00A94677">
        <w:rPr>
          <w:sz w:val="24"/>
          <w:szCs w:val="24"/>
        </w:rPr>
        <w:t>Ensure operational staff training needs are communicated and actioned. Contribute to the development and delivery of staff training as required.</w:t>
      </w:r>
    </w:p>
    <w:p w14:paraId="03C2218C" w14:textId="77777777" w:rsidR="000838F8" w:rsidRPr="00A94677" w:rsidRDefault="000838F8" w:rsidP="000838F8">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sz w:val="24"/>
          <w:szCs w:val="24"/>
        </w:rPr>
      </w:pPr>
      <w:r w:rsidRPr="00A94677">
        <w:rPr>
          <w:sz w:val="24"/>
          <w:szCs w:val="24"/>
        </w:rPr>
        <w:t>Coordinate all staffing arrangements for operations, escorts and roster requirements, including backfill and annual leave.</w:t>
      </w:r>
    </w:p>
    <w:p w14:paraId="498DB620" w14:textId="77777777" w:rsidR="000838F8" w:rsidRDefault="000838F8" w:rsidP="000838F8">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sz w:val="24"/>
          <w:szCs w:val="24"/>
        </w:rPr>
      </w:pPr>
      <w:r w:rsidRPr="00A94677">
        <w:rPr>
          <w:sz w:val="24"/>
          <w:szCs w:val="24"/>
        </w:rPr>
        <w:t>Provide advice to the Operations Manager to ensure the physical condition and integrity of the centre is maintained at the highest possible level.</w:t>
      </w:r>
    </w:p>
    <w:p w14:paraId="5C90C14A" w14:textId="77777777" w:rsidR="000838F8" w:rsidRPr="008E50AD" w:rsidRDefault="000838F8" w:rsidP="000838F8">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sz w:val="24"/>
          <w:szCs w:val="24"/>
        </w:rPr>
      </w:pPr>
      <w:r w:rsidRPr="008E50AD">
        <w:rPr>
          <w:sz w:val="24"/>
          <w:szCs w:val="24"/>
        </w:rPr>
        <w:t xml:space="preserve">Ensure the safety and wellbeing of vulnerable people you may be working with (including children and young people) and immediately report any concerns, disclosures, allegations or suspicions of harm. Actively participate in and contribute to practices that will ensure Communities Tasmania is a child safe organisation including reporting, record keeping and information sharing obligations. </w:t>
      </w:r>
    </w:p>
    <w:p w14:paraId="3EDD6B38" w14:textId="77777777" w:rsidR="00D2771F" w:rsidRPr="00B732A4" w:rsidRDefault="00D2771F" w:rsidP="00996D8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4F672B1E" w14:textId="77777777" w:rsidR="00D2771F" w:rsidRPr="003A0A35" w:rsidRDefault="00D2771F" w:rsidP="00996D8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43EE0DB1" w14:textId="77777777" w:rsidR="009D6E8A" w:rsidRPr="00190B67" w:rsidRDefault="009D6E8A" w:rsidP="00697DE2">
      <w:pPr>
        <w:pStyle w:val="Heading2"/>
        <w:rPr>
          <w:color w:val="011947"/>
        </w:rPr>
      </w:pPr>
      <w:r w:rsidRPr="00190B67">
        <w:rPr>
          <w:color w:val="011947"/>
        </w:rPr>
        <w:t>Selection Criteria</w:t>
      </w:r>
    </w:p>
    <w:p w14:paraId="1E901971" w14:textId="77777777" w:rsidR="00D2771F" w:rsidRPr="003A0A35" w:rsidRDefault="00D2771F" w:rsidP="00697DE2">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192CCB3C" w14:textId="77777777" w:rsidR="00D2771F" w:rsidRPr="003A0A35" w:rsidRDefault="00D2771F" w:rsidP="00697DE2">
      <w:pPr>
        <w:tabs>
          <w:tab w:val="left" w:pos="6210"/>
        </w:tabs>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3F8FA348" wp14:editId="0477D8E7">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44C71F4"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223B9A6F" w14:textId="77777777" w:rsidR="002C5640" w:rsidRPr="00B006B2" w:rsidRDefault="002C5640" w:rsidP="002C5640">
      <w:pPr>
        <w:numPr>
          <w:ilvl w:val="0"/>
          <w:numId w:val="33"/>
        </w:numPr>
        <w:spacing w:line="300" w:lineRule="atLeast"/>
        <w:jc w:val="both"/>
        <w:rPr>
          <w:sz w:val="24"/>
          <w:szCs w:val="24"/>
        </w:rPr>
      </w:pPr>
      <w:r w:rsidRPr="00B006B2">
        <w:rPr>
          <w:sz w:val="24"/>
          <w:szCs w:val="24"/>
          <w:lang w:val="en-US"/>
        </w:rPr>
        <w:t>Demonstrated understanding of adolescent development issues including the ability to identify factors contributing to youth offending.</w:t>
      </w:r>
    </w:p>
    <w:p w14:paraId="63A0664B" w14:textId="77777777" w:rsidR="002C5640" w:rsidRPr="00B006B2" w:rsidRDefault="002C5640" w:rsidP="002C5640">
      <w:pPr>
        <w:numPr>
          <w:ilvl w:val="0"/>
          <w:numId w:val="33"/>
        </w:numPr>
        <w:spacing w:line="300" w:lineRule="atLeast"/>
        <w:jc w:val="both"/>
        <w:rPr>
          <w:sz w:val="24"/>
          <w:szCs w:val="24"/>
        </w:rPr>
      </w:pPr>
      <w:r w:rsidRPr="00B006B2">
        <w:rPr>
          <w:rFonts w:cs="Tahoma"/>
          <w:color w:val="000000" w:themeColor="text1"/>
          <w:sz w:val="24"/>
          <w:szCs w:val="24"/>
        </w:rPr>
        <w:t>Demonstrated experience in the co-ordination and monitoring of human and physical resources,</w:t>
      </w:r>
      <w:r w:rsidRPr="00B006B2">
        <w:rPr>
          <w:rFonts w:cs="Tahoma"/>
          <w:sz w:val="24"/>
          <w:szCs w:val="24"/>
        </w:rPr>
        <w:t xml:space="preserve"> including the ability to provide staff supervision and performance </w:t>
      </w:r>
      <w:r w:rsidRPr="00B006B2">
        <w:rPr>
          <w:rFonts w:cs="Tahoma"/>
          <w:sz w:val="24"/>
          <w:szCs w:val="24"/>
        </w:rPr>
        <w:lastRenderedPageBreak/>
        <w:t>management according to Agency policy and standards. A proven ability to provide leadership and promote a team environment, including an ability to be adaptable and flexible, working within an environment subject to work pressure, competing priorities, ambiguity and change.</w:t>
      </w:r>
    </w:p>
    <w:p w14:paraId="3A20C38F" w14:textId="77777777" w:rsidR="00687368" w:rsidRPr="00B006B2" w:rsidRDefault="00687368" w:rsidP="00687368">
      <w:pPr>
        <w:numPr>
          <w:ilvl w:val="0"/>
          <w:numId w:val="33"/>
        </w:numPr>
        <w:spacing w:line="300" w:lineRule="atLeast"/>
        <w:jc w:val="both"/>
        <w:rPr>
          <w:rFonts w:cs="Tahoma"/>
          <w:sz w:val="24"/>
          <w:szCs w:val="24"/>
        </w:rPr>
      </w:pPr>
      <w:r w:rsidRPr="00B006B2">
        <w:rPr>
          <w:rFonts w:cs="Tahoma"/>
          <w:sz w:val="24"/>
          <w:szCs w:val="24"/>
        </w:rPr>
        <w:t xml:space="preserve">Good written and verbal communication skills and </w:t>
      </w:r>
      <w:proofErr w:type="gramStart"/>
      <w:r w:rsidRPr="00B006B2">
        <w:rPr>
          <w:rFonts w:cs="Tahoma"/>
          <w:sz w:val="24"/>
          <w:szCs w:val="24"/>
        </w:rPr>
        <w:t>well developed</w:t>
      </w:r>
      <w:proofErr w:type="gramEnd"/>
      <w:r w:rsidRPr="00B006B2">
        <w:rPr>
          <w:rFonts w:cs="Tahoma"/>
          <w:sz w:val="24"/>
          <w:szCs w:val="24"/>
        </w:rPr>
        <w:t xml:space="preserve"> interpersonal skills, including the ability to contribute to effective decision making at a senior level.</w:t>
      </w:r>
    </w:p>
    <w:p w14:paraId="15FB26BC" w14:textId="77777777" w:rsidR="00687368" w:rsidRPr="00B006B2" w:rsidRDefault="00687368" w:rsidP="00687368">
      <w:pPr>
        <w:numPr>
          <w:ilvl w:val="0"/>
          <w:numId w:val="33"/>
        </w:numPr>
        <w:spacing w:line="300" w:lineRule="atLeast"/>
        <w:jc w:val="both"/>
        <w:rPr>
          <w:rFonts w:cs="Tahoma"/>
          <w:sz w:val="24"/>
          <w:szCs w:val="24"/>
        </w:rPr>
      </w:pPr>
      <w:r w:rsidRPr="00B006B2">
        <w:rPr>
          <w:sz w:val="24"/>
          <w:szCs w:val="24"/>
        </w:rPr>
        <w:t xml:space="preserve">Demonstrated </w:t>
      </w:r>
      <w:r w:rsidRPr="00B006B2">
        <w:rPr>
          <w:rFonts w:cs="Tahoma"/>
          <w:sz w:val="24"/>
          <w:szCs w:val="24"/>
        </w:rPr>
        <w:t>skills in the development, implementation, monitoring and evaluation of operational procedures.</w:t>
      </w:r>
    </w:p>
    <w:p w14:paraId="5F09AF58" w14:textId="77777777" w:rsidR="00687368" w:rsidRPr="00B006B2" w:rsidRDefault="00687368" w:rsidP="00687368">
      <w:pPr>
        <w:numPr>
          <w:ilvl w:val="0"/>
          <w:numId w:val="33"/>
        </w:numPr>
        <w:spacing w:line="300" w:lineRule="atLeast"/>
        <w:jc w:val="both"/>
        <w:rPr>
          <w:rFonts w:cs="Tahoma"/>
          <w:color w:val="000000"/>
          <w:sz w:val="24"/>
          <w:szCs w:val="24"/>
        </w:rPr>
      </w:pPr>
      <w:r w:rsidRPr="00B006B2">
        <w:rPr>
          <w:rFonts w:cs="Tahoma"/>
          <w:color w:val="000000"/>
          <w:sz w:val="24"/>
          <w:szCs w:val="24"/>
        </w:rPr>
        <w:t>Understanding of casework principles and the ability to actively implement and monitor casework strategies that meet rehabilitation, education, vocation and recreation needs of young people in custody.</w:t>
      </w:r>
    </w:p>
    <w:p w14:paraId="1198B3E4" w14:textId="77777777" w:rsidR="00687368" w:rsidRPr="00B006B2" w:rsidRDefault="00687368" w:rsidP="00687368">
      <w:pPr>
        <w:numPr>
          <w:ilvl w:val="0"/>
          <w:numId w:val="33"/>
        </w:numPr>
        <w:spacing w:line="300" w:lineRule="atLeast"/>
        <w:jc w:val="both"/>
        <w:rPr>
          <w:rFonts w:cs="Tahoma"/>
          <w:sz w:val="24"/>
          <w:szCs w:val="24"/>
        </w:rPr>
      </w:pPr>
      <w:r w:rsidRPr="00B006B2">
        <w:rPr>
          <w:rFonts w:cs="Tahoma"/>
          <w:sz w:val="24"/>
          <w:szCs w:val="24"/>
        </w:rPr>
        <w:t>Commitment to the promotion of a professional learning environment, including the capacity to provide training for all Unit staff in the application of procedural and operational standards and practices.</w:t>
      </w:r>
    </w:p>
    <w:p w14:paraId="2A39DB0A" w14:textId="77777777" w:rsidR="00687368" w:rsidRPr="00B006B2" w:rsidRDefault="00687368" w:rsidP="00687368">
      <w:pPr>
        <w:numPr>
          <w:ilvl w:val="0"/>
          <w:numId w:val="33"/>
        </w:numPr>
        <w:spacing w:line="300" w:lineRule="atLeast"/>
        <w:jc w:val="both"/>
        <w:rPr>
          <w:rFonts w:cs="Tahoma"/>
          <w:sz w:val="24"/>
          <w:szCs w:val="24"/>
        </w:rPr>
      </w:pPr>
      <w:r w:rsidRPr="00B006B2">
        <w:rPr>
          <w:rFonts w:cs="Tahoma"/>
          <w:sz w:val="24"/>
          <w:szCs w:val="24"/>
        </w:rPr>
        <w:t>Knowledge of the Agency’s Mission and Goals and a restorative justice framework for Youth Justice and the ability to translate this into practice within a multi-disciplinary setting.</w:t>
      </w:r>
    </w:p>
    <w:p w14:paraId="0894E4BB" w14:textId="77777777" w:rsidR="00687368" w:rsidRPr="00B006B2" w:rsidRDefault="00687368" w:rsidP="00687368">
      <w:pPr>
        <w:numPr>
          <w:ilvl w:val="0"/>
          <w:numId w:val="33"/>
        </w:numPr>
        <w:spacing w:line="300" w:lineRule="atLeast"/>
        <w:jc w:val="both"/>
        <w:rPr>
          <w:rFonts w:cs="Tahoma"/>
          <w:sz w:val="24"/>
          <w:szCs w:val="24"/>
        </w:rPr>
      </w:pPr>
      <w:r w:rsidRPr="00B006B2">
        <w:rPr>
          <w:sz w:val="24"/>
          <w:szCs w:val="24"/>
        </w:rPr>
        <w:t>Demonstrated commitment to the principles of workplace diversity and broad experience in the systemic approach to Work Health and Safety, particularly risk management.</w:t>
      </w:r>
    </w:p>
    <w:p w14:paraId="440976F1" w14:textId="77777777" w:rsidR="00D2771F" w:rsidRPr="00B732A4" w:rsidRDefault="00935713" w:rsidP="00697DE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3A24DB76" w14:textId="77777777" w:rsidR="009D6E8A" w:rsidRPr="00190B67" w:rsidRDefault="009D6E8A" w:rsidP="00697DE2">
      <w:pPr>
        <w:pStyle w:val="Heading2"/>
        <w:rPr>
          <w:color w:val="011947"/>
        </w:rPr>
      </w:pPr>
      <w:r w:rsidRPr="00190B67">
        <w:rPr>
          <w:color w:val="011947"/>
        </w:rPr>
        <w:t>Requirements</w:t>
      </w:r>
    </w:p>
    <w:p w14:paraId="33040487" w14:textId="77777777" w:rsidR="00D2771F" w:rsidRPr="00B732A4" w:rsidRDefault="00D2771F" w:rsidP="00996D82">
      <w:pPr>
        <w:jc w:val="both"/>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38FC51D2"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3C2E6D89" w14:textId="77777777" w:rsidR="00D2771F" w:rsidRPr="006373A0" w:rsidRDefault="00D2771F" w:rsidP="00697DE2">
            <w:pPr>
              <w:rPr>
                <w:sz w:val="24"/>
                <w:szCs w:val="24"/>
              </w:rPr>
            </w:pPr>
            <w:bookmarkStart w:id="3" w:name="_Hlk173332693"/>
            <w:bookmarkEnd w:id="2"/>
            <w:r w:rsidRPr="00A65F3B">
              <w:rPr>
                <w:b/>
                <w:sz w:val="24"/>
                <w:szCs w:val="24"/>
              </w:rPr>
              <w:t>Essential</w:t>
            </w:r>
          </w:p>
        </w:tc>
        <w:tc>
          <w:tcPr>
            <w:tcW w:w="7763" w:type="dxa"/>
          </w:tcPr>
          <w:p w14:paraId="5C2CE6FA" w14:textId="77777777" w:rsidR="00D2771F" w:rsidRPr="00B732A4" w:rsidRDefault="00D2771F" w:rsidP="00697DE2">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p w14:paraId="4551EB86" w14:textId="6A62FB88" w:rsidR="00D2771F" w:rsidRPr="00114FAE" w:rsidRDefault="00D2771F" w:rsidP="00697DE2">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olor w:val="ED7D31"/>
                <w:sz w:val="24"/>
                <w:szCs w:val="24"/>
              </w:rPr>
            </w:pPr>
            <w:r w:rsidRPr="00A573FF">
              <w:rPr>
                <w:rFonts w:eastAsia="Times New Roman" w:cs="Arial"/>
                <w:bCs/>
                <w:sz w:val="24"/>
                <w:szCs w:val="24"/>
              </w:rPr>
              <w:t xml:space="preserve">The Head of the State Service has determined that the person nominated for this job is to satisfy a pre-employment check before taking up the appointment, on promotion or transfer. The following checks are to be conducted: </w:t>
            </w:r>
            <w:r w:rsidRPr="0030202C">
              <w:rPr>
                <w:rFonts w:eastAsia="Times New Roman"/>
                <w:color w:val="FF0000"/>
                <w:sz w:val="24"/>
              </w:rPr>
              <w:t xml:space="preserve"> </w:t>
            </w:r>
          </w:p>
          <w:p w14:paraId="72C54161" w14:textId="77777777" w:rsidR="00D2771F" w:rsidRPr="00A573FF" w:rsidRDefault="00D2771F" w:rsidP="00697DE2">
            <w:pPr>
              <w:pStyle w:val="ListParagraph"/>
              <w:numPr>
                <w:ilvl w:val="0"/>
                <w:numId w:val="37"/>
              </w:numPr>
              <w:tabs>
                <w:tab w:val="clear" w:pos="227"/>
                <w:tab w:val="clear" w:pos="454"/>
                <w:tab w:val="clear" w:pos="680"/>
                <w:tab w:val="clear" w:pos="907"/>
                <w:tab w:val="clear" w:pos="1134"/>
                <w:tab w:val="clear" w:pos="1361"/>
              </w:tabs>
              <w:spacing w:before="120"/>
              <w:ind w:hanging="487"/>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Conviction checks in the following areas:</w:t>
            </w:r>
          </w:p>
          <w:p w14:paraId="146A0DF1" w14:textId="77777777" w:rsidR="00D2771F" w:rsidRPr="00A573F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crimes of violence</w:t>
            </w:r>
          </w:p>
          <w:p w14:paraId="43A59903" w14:textId="77777777" w:rsidR="00D2771F" w:rsidRPr="00A573F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sex related offences</w:t>
            </w:r>
          </w:p>
          <w:p w14:paraId="42EBE65A" w14:textId="77777777" w:rsidR="00D2771F" w:rsidRPr="00A573F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lastRenderedPageBreak/>
              <w:t>serious drug offences</w:t>
            </w:r>
          </w:p>
          <w:p w14:paraId="6EF0D180" w14:textId="77777777" w:rsidR="00D2771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crimes involving dishonesty</w:t>
            </w:r>
          </w:p>
          <w:p w14:paraId="27A20E4B" w14:textId="77777777" w:rsidR="00D2771F" w:rsidRPr="00A573F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Pr>
                <w:rFonts w:eastAsia="Times New Roman" w:cs="Arial"/>
                <w:bCs/>
                <w:sz w:val="24"/>
                <w:szCs w:val="24"/>
              </w:rPr>
              <w:t>serious traffic offences</w:t>
            </w:r>
          </w:p>
          <w:p w14:paraId="0F0B1137" w14:textId="77777777" w:rsidR="0030202C" w:rsidRDefault="00D2771F" w:rsidP="00697DE2">
            <w:pPr>
              <w:pStyle w:val="ListParagraph"/>
              <w:numPr>
                <w:ilvl w:val="0"/>
                <w:numId w:val="37"/>
              </w:numPr>
              <w:tabs>
                <w:tab w:val="clear" w:pos="227"/>
                <w:tab w:val="clear" w:pos="454"/>
                <w:tab w:val="clear" w:pos="680"/>
                <w:tab w:val="clear" w:pos="907"/>
                <w:tab w:val="clear" w:pos="1134"/>
                <w:tab w:val="clear" w:pos="1361"/>
              </w:tabs>
              <w:spacing w:before="120"/>
              <w:ind w:hanging="487"/>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Identification check</w:t>
            </w:r>
          </w:p>
          <w:p w14:paraId="36A026C6" w14:textId="77777777" w:rsidR="00D2771F" w:rsidRPr="0030202C" w:rsidRDefault="00D2771F" w:rsidP="00697DE2">
            <w:pPr>
              <w:pStyle w:val="ListParagraph"/>
              <w:numPr>
                <w:ilvl w:val="0"/>
                <w:numId w:val="37"/>
              </w:numPr>
              <w:tabs>
                <w:tab w:val="clear" w:pos="227"/>
                <w:tab w:val="clear" w:pos="454"/>
                <w:tab w:val="clear" w:pos="680"/>
                <w:tab w:val="clear" w:pos="907"/>
                <w:tab w:val="clear" w:pos="1134"/>
                <w:tab w:val="clear" w:pos="1361"/>
              </w:tabs>
              <w:spacing w:before="120"/>
              <w:ind w:hanging="487"/>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30202C">
              <w:rPr>
                <w:rFonts w:eastAsia="Times New Roman" w:cs="Arial"/>
                <w:bCs/>
                <w:sz w:val="24"/>
                <w:szCs w:val="24"/>
              </w:rPr>
              <w:t>Disciplinary actions in previous employment check</w:t>
            </w:r>
          </w:p>
        </w:tc>
      </w:tr>
      <w:tr w:rsidR="00D2771F" w14:paraId="52D315EF"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42DBC19A" w14:textId="77777777" w:rsidR="00D2771F" w:rsidRPr="00A65F3B" w:rsidRDefault="00D2771F" w:rsidP="00697DE2">
            <w:pPr>
              <w:rPr>
                <w:b/>
                <w:sz w:val="24"/>
                <w:szCs w:val="24"/>
              </w:rPr>
            </w:pPr>
            <w:r w:rsidRPr="00A65F3B">
              <w:rPr>
                <w:b/>
                <w:sz w:val="24"/>
                <w:szCs w:val="24"/>
              </w:rPr>
              <w:lastRenderedPageBreak/>
              <w:t>Desirable</w:t>
            </w:r>
          </w:p>
        </w:tc>
        <w:tc>
          <w:tcPr>
            <w:tcW w:w="7763" w:type="dxa"/>
          </w:tcPr>
          <w:p w14:paraId="062BA12E" w14:textId="551ABCD2" w:rsidR="00D2771F" w:rsidRPr="006A4BE9" w:rsidRDefault="006A4BE9" w:rsidP="006A4BE9">
            <w:pPr>
              <w:pStyle w:val="ListParagraph"/>
              <w:numPr>
                <w:ilvl w:val="0"/>
                <w:numId w:val="34"/>
              </w:numPr>
              <w:tabs>
                <w:tab w:val="clear" w:pos="227"/>
                <w:tab w:val="clear" w:pos="454"/>
                <w:tab w:val="clear" w:pos="680"/>
                <w:tab w:val="clear" w:pos="907"/>
                <w:tab w:val="clear" w:pos="1134"/>
                <w:tab w:val="clear" w:pos="1361"/>
              </w:tabs>
              <w:spacing w:line="300" w:lineRule="atLeast"/>
              <w:jc w:val="both"/>
              <w:cnfStyle w:val="000000100000" w:firstRow="0" w:lastRow="0" w:firstColumn="0" w:lastColumn="0" w:oddVBand="0" w:evenVBand="0" w:oddHBand="1" w:evenHBand="0" w:firstRowFirstColumn="0" w:firstRowLastColumn="0" w:lastRowFirstColumn="0" w:lastRowLastColumn="0"/>
              <w:rPr>
                <w:rFonts w:cs="Tahoma"/>
                <w:sz w:val="24"/>
                <w:szCs w:val="24"/>
              </w:rPr>
            </w:pPr>
            <w:r w:rsidRPr="00214A3C">
              <w:rPr>
                <w:rFonts w:cs="Tahoma"/>
                <w:sz w:val="24"/>
                <w:szCs w:val="24"/>
              </w:rPr>
              <w:t>Formal educational qualifications relevant to the provision of services for young people.</w:t>
            </w:r>
          </w:p>
        </w:tc>
      </w:tr>
    </w:tbl>
    <w:bookmarkEnd w:id="0"/>
    <w:bookmarkEnd w:id="3"/>
    <w:p w14:paraId="06FD62D2" w14:textId="77777777" w:rsidR="00D2771F" w:rsidRPr="00B732A4" w:rsidRDefault="00D2771F" w:rsidP="00996D82">
      <w:pPr>
        <w:pStyle w:val="Heading2"/>
        <w:jc w:val="both"/>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41C4C278" w14:textId="77777777" w:rsidR="00D2771F" w:rsidRPr="00FD47C2" w:rsidRDefault="00D2771F" w:rsidP="00996D82">
      <w:pPr>
        <w:jc w:val="both"/>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34654791" w14:textId="77777777" w:rsidR="00D2771F" w:rsidRDefault="00D2771F" w:rsidP="00996D8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C775494" w14:textId="77777777" w:rsidR="00D2771F" w:rsidRDefault="00D2771F" w:rsidP="00996D8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78F46F81" w14:textId="77777777" w:rsidR="00D2771F" w:rsidRDefault="00D2771F" w:rsidP="00996D82">
      <w:pPr>
        <w:jc w:val="both"/>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54669B7A" w14:textId="77777777" w:rsidR="00D2771F" w:rsidRPr="00CA664C" w:rsidRDefault="00D2771F" w:rsidP="00996D82">
      <w:pPr>
        <w:jc w:val="both"/>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F677BA5" w14:textId="77777777" w:rsidR="00D2771F" w:rsidRPr="00CA664C" w:rsidRDefault="00D2771F" w:rsidP="00996D82">
      <w:pPr>
        <w:jc w:val="both"/>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1"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FFF7176" w14:textId="77777777" w:rsidR="00D2771F" w:rsidRPr="00B732A4" w:rsidRDefault="00D2771F" w:rsidP="00996D82">
      <w:pPr>
        <w:jc w:val="both"/>
        <w:rPr>
          <w:rFonts w:eastAsia="Gill Sans MT Std Light"/>
        </w:rPr>
      </w:pPr>
      <w:r w:rsidRPr="00CA664C">
        <w:rPr>
          <w:sz w:val="24"/>
          <w:szCs w:val="24"/>
        </w:rPr>
        <w:lastRenderedPageBreak/>
        <w:t xml:space="preserve">All employees are expected to utilise information management systems in a responsible manner in line with the DECYP Condition of Use policy statement located at </w:t>
      </w:r>
      <w:hyperlink r:id="rId12"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45B093E8" w14:textId="77777777" w:rsidR="00D2771F" w:rsidRPr="00B732A4" w:rsidRDefault="00D2771F" w:rsidP="00697DE2">
      <w:pPr>
        <w:pStyle w:val="Heading2"/>
        <w:rPr>
          <w:color w:val="011947"/>
        </w:rPr>
      </w:pPr>
      <w:r w:rsidRPr="00B732A4">
        <w:rPr>
          <w:color w:val="011947"/>
        </w:rPr>
        <w:t>Commitment to Children and Young People</w:t>
      </w:r>
    </w:p>
    <w:p w14:paraId="22271588" w14:textId="77777777" w:rsidR="00D2771F" w:rsidRDefault="00D2771F" w:rsidP="00996D82">
      <w:pPr>
        <w:jc w:val="both"/>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5071CB9C" w14:textId="77777777" w:rsidR="00D2771F" w:rsidRPr="00B732A4" w:rsidRDefault="00D2771F" w:rsidP="00996D82">
      <w:pPr>
        <w:jc w:val="both"/>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389D0B45" w14:textId="77777777" w:rsidR="00D2771F" w:rsidRPr="005C26ED" w:rsidRDefault="00D2771F" w:rsidP="00996D82">
      <w:pPr>
        <w:jc w:val="both"/>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5DACD9EA" w14:textId="77777777" w:rsidTr="00AE03E2">
        <w:trPr>
          <w:trHeight w:val="70"/>
          <w:tblHeader/>
        </w:trPr>
        <w:tc>
          <w:tcPr>
            <w:tcW w:w="9026" w:type="dxa"/>
          </w:tcPr>
          <w:p w14:paraId="7BC6299C" w14:textId="0CF98CAA" w:rsidR="0030202C" w:rsidRDefault="00D2771F" w:rsidP="00697DE2">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00923814" w:rsidRPr="00D720EC">
              <w:rPr>
                <w:rFonts w:cs="Arial"/>
              </w:rPr>
              <w:t xml:space="preserve">973874 – Assistant Director </w:t>
            </w:r>
            <w:r w:rsidR="00923814">
              <w:rPr>
                <w:rFonts w:cs="Arial"/>
              </w:rPr>
              <w:t xml:space="preserve">Strategic Recruitment and Payroll Operations </w:t>
            </w:r>
            <w:r w:rsidRPr="00D720EC">
              <w:rPr>
                <w:rFonts w:cs="Arial"/>
              </w:rPr>
              <w:t xml:space="preserve">– </w:t>
            </w:r>
            <w:r w:rsidR="00C80E54">
              <w:rPr>
                <w:rFonts w:cs="Arial"/>
              </w:rPr>
              <w:t>September 2012</w:t>
            </w:r>
            <w:r>
              <w:rPr>
                <w:rFonts w:cs="Arial"/>
              </w:rPr>
              <w:t xml:space="preserve"> </w:t>
            </w:r>
          </w:p>
          <w:p w14:paraId="7C3733D0" w14:textId="77777777" w:rsidR="00E15432" w:rsidRDefault="00D2771F" w:rsidP="00E15432">
            <w:pPr>
              <w:tabs>
                <w:tab w:val="left" w:pos="180"/>
              </w:tabs>
              <w:rPr>
                <w:rFonts w:cs="Arial"/>
              </w:rPr>
            </w:pPr>
            <w:r w:rsidRPr="00D720EC">
              <w:rPr>
                <w:rFonts w:cs="Arial"/>
              </w:rPr>
              <w:t xml:space="preserve">Request: </w:t>
            </w:r>
          </w:p>
          <w:p w14:paraId="6CCBB35D" w14:textId="4D50EE26" w:rsidR="00D2771F" w:rsidRPr="00E15432" w:rsidRDefault="00D2771F" w:rsidP="00E15432">
            <w:pPr>
              <w:tabs>
                <w:tab w:val="left" w:pos="180"/>
              </w:tabs>
              <w:rPr>
                <w:rFonts w:cs="Arial"/>
              </w:rPr>
            </w:pPr>
            <w:r w:rsidRPr="00D720EC">
              <w:rPr>
                <w:rFonts w:cs="Arial"/>
              </w:rPr>
              <w:t xml:space="preserve">Date Duties and Selection Criteria Last Reviewed:  </w:t>
            </w:r>
            <w:r w:rsidR="00C80E54">
              <w:rPr>
                <w:rFonts w:cs="Arial"/>
              </w:rPr>
              <w:t>09/12 DCT</w:t>
            </w:r>
          </w:p>
        </w:tc>
      </w:tr>
      <w:bookmarkEnd w:id="4"/>
    </w:tbl>
    <w:p w14:paraId="4B30CBD6" w14:textId="77777777" w:rsidR="00BF7FC7" w:rsidRPr="00BF7FC7" w:rsidRDefault="00BF7FC7" w:rsidP="00BF7FC7">
      <w:pPr>
        <w:tabs>
          <w:tab w:val="left" w:pos="3826"/>
        </w:tabs>
      </w:pPr>
    </w:p>
    <w:sectPr w:rsidR="00BF7FC7" w:rsidRPr="00BF7FC7" w:rsidSect="00A1097B">
      <w:footerReference w:type="default" r:id="rId13"/>
      <w:headerReference w:type="first" r:id="rId14"/>
      <w:footerReference w:type="first" r:id="rId15"/>
      <w:pgSz w:w="11906" w:h="16838"/>
      <w:pgMar w:top="1418" w:right="1134" w:bottom="1134" w:left="1134" w:header="709" w:footer="4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2EC1" w14:textId="77777777" w:rsidR="00971150" w:rsidRDefault="00971150" w:rsidP="0021185D">
      <w:pPr>
        <w:spacing w:after="0" w:line="240" w:lineRule="auto"/>
      </w:pPr>
      <w:r>
        <w:separator/>
      </w:r>
    </w:p>
    <w:p w14:paraId="55D58791" w14:textId="77777777" w:rsidR="00971150" w:rsidRDefault="00971150"/>
  </w:endnote>
  <w:endnote w:type="continuationSeparator" w:id="0">
    <w:p w14:paraId="5AA42081" w14:textId="77777777" w:rsidR="00971150" w:rsidRDefault="00971150" w:rsidP="0021185D">
      <w:pPr>
        <w:spacing w:after="0" w:line="240" w:lineRule="auto"/>
      </w:pPr>
      <w:r>
        <w:continuationSeparator/>
      </w:r>
    </w:p>
    <w:p w14:paraId="657FD6CB" w14:textId="77777777" w:rsidR="00971150" w:rsidRDefault="009711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20AA9"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25FFC558"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C5FE7" w14:textId="77777777" w:rsidR="00A26A93" w:rsidRPr="007A6C0F" w:rsidRDefault="00C200D1" w:rsidP="00A33B57">
    <w:pPr>
      <w:pStyle w:val="DECYPDepartmentname"/>
      <w:ind w:left="-425"/>
      <w:rPr>
        <w:sz w:val="22"/>
        <w:szCs w:val="22"/>
      </w:rPr>
    </w:pPr>
    <w:r>
      <w:rPr>
        <w:noProof/>
      </w:rPr>
      <w:drawing>
        <wp:anchor distT="0" distB="0" distL="114300" distR="114300" simplePos="0" relativeHeight="251668479" behindDoc="1" locked="1" layoutInCell="1" allowOverlap="1" wp14:anchorId="7D6E3981" wp14:editId="08A0F70A">
          <wp:simplePos x="0" y="0"/>
          <wp:positionH relativeFrom="column">
            <wp:posOffset>5564428</wp:posOffset>
          </wp:positionH>
          <wp:positionV relativeFrom="page">
            <wp:posOffset>9483725</wp:posOffset>
          </wp:positionV>
          <wp:extent cx="910800" cy="846000"/>
          <wp:effectExtent l="0" t="0" r="3810" b="0"/>
          <wp:wrapNone/>
          <wp:docPr id="1499201029"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8A4B0" w14:textId="77777777" w:rsidR="00971150" w:rsidRDefault="00971150" w:rsidP="0021185D">
      <w:pPr>
        <w:spacing w:after="0" w:line="240" w:lineRule="auto"/>
      </w:pPr>
      <w:r>
        <w:separator/>
      </w:r>
    </w:p>
    <w:p w14:paraId="2172C95C" w14:textId="77777777" w:rsidR="00971150" w:rsidRDefault="00971150"/>
  </w:footnote>
  <w:footnote w:type="continuationSeparator" w:id="0">
    <w:p w14:paraId="5B22A192" w14:textId="77777777" w:rsidR="00971150" w:rsidRDefault="00971150" w:rsidP="0021185D">
      <w:pPr>
        <w:spacing w:after="0" w:line="240" w:lineRule="auto"/>
      </w:pPr>
      <w:r>
        <w:continuationSeparator/>
      </w:r>
    </w:p>
    <w:p w14:paraId="5A9D3C86" w14:textId="77777777" w:rsidR="00971150" w:rsidRDefault="009711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2F56A" w14:textId="706E19AD" w:rsidR="00F52F3C" w:rsidRDefault="00F52F3C" w:rsidP="00EF7B9C">
    <w:pPr>
      <w:pStyle w:val="IntroParagraph"/>
      <w:tabs>
        <w:tab w:val="right" w:pos="9638"/>
      </w:tabs>
      <w:spacing w:before="0" w:after="0"/>
      <w:rPr>
        <w:noProof/>
      </w:rPr>
    </w:pPr>
    <w:r>
      <w:rPr>
        <w:noProof/>
      </w:rPr>
      <w:drawing>
        <wp:anchor distT="0" distB="0" distL="114300" distR="114300" simplePos="0" relativeHeight="251670528" behindDoc="1" locked="1" layoutInCell="1" allowOverlap="1" wp14:anchorId="6ABC3BD8" wp14:editId="5250B64B">
          <wp:simplePos x="0" y="0"/>
          <wp:positionH relativeFrom="column">
            <wp:posOffset>-719455</wp:posOffset>
          </wp:positionH>
          <wp:positionV relativeFrom="page">
            <wp:posOffset>4445</wp:posOffset>
          </wp:positionV>
          <wp:extent cx="7560000" cy="2044800"/>
          <wp:effectExtent l="0" t="0" r="3175" b="0"/>
          <wp:wrapNone/>
          <wp:docPr id="202740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7B9C">
      <w:rPr>
        <w:noProof/>
      </w:rPr>
      <w:tab/>
    </w:r>
  </w:p>
  <w:p w14:paraId="592DCD01"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ED3F42"/>
    <w:multiLevelType w:val="hybridMultilevel"/>
    <w:tmpl w:val="F0324B8E"/>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0"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CB3EBF"/>
    <w:multiLevelType w:val="multilevel"/>
    <w:tmpl w:val="CA3C0B58"/>
    <w:numStyleLink w:val="Bullets"/>
  </w:abstractNum>
  <w:abstractNum w:abstractNumId="15"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7"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2"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5"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6"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7"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8"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821287"/>
    <w:multiLevelType w:val="hybridMultilevel"/>
    <w:tmpl w:val="17043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9"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0" w15:restartNumberingAfterBreak="0">
    <w:nsid w:val="7E401EA4"/>
    <w:multiLevelType w:val="hybridMultilevel"/>
    <w:tmpl w:val="4CC82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5895563">
    <w:abstractNumId w:val="37"/>
  </w:num>
  <w:num w:numId="2" w16cid:durableId="1099250515">
    <w:abstractNumId w:val="20"/>
  </w:num>
  <w:num w:numId="3" w16cid:durableId="454718066">
    <w:abstractNumId w:val="22"/>
  </w:num>
  <w:num w:numId="4" w16cid:durableId="20790063">
    <w:abstractNumId w:val="7"/>
  </w:num>
  <w:num w:numId="5" w16cid:durableId="1314144844">
    <w:abstractNumId w:val="13"/>
  </w:num>
  <w:num w:numId="6" w16cid:durableId="1346397344">
    <w:abstractNumId w:val="15"/>
  </w:num>
  <w:num w:numId="7" w16cid:durableId="292291676">
    <w:abstractNumId w:val="36"/>
  </w:num>
  <w:num w:numId="8" w16cid:durableId="2030371840">
    <w:abstractNumId w:val="6"/>
  </w:num>
  <w:num w:numId="9" w16cid:durableId="858272417">
    <w:abstractNumId w:val="1"/>
  </w:num>
  <w:num w:numId="10" w16cid:durableId="69281409">
    <w:abstractNumId w:val="2"/>
  </w:num>
  <w:num w:numId="11" w16cid:durableId="1379667581">
    <w:abstractNumId w:val="11"/>
  </w:num>
  <w:num w:numId="12" w16cid:durableId="680619599">
    <w:abstractNumId w:val="19"/>
  </w:num>
  <w:num w:numId="13" w16cid:durableId="2100369805">
    <w:abstractNumId w:val="27"/>
  </w:num>
  <w:num w:numId="14" w16cid:durableId="1671323240">
    <w:abstractNumId w:val="4"/>
  </w:num>
  <w:num w:numId="15" w16cid:durableId="1858543762">
    <w:abstractNumId w:val="16"/>
  </w:num>
  <w:num w:numId="16" w16cid:durableId="57754739">
    <w:abstractNumId w:val="21"/>
  </w:num>
  <w:num w:numId="17" w16cid:durableId="223832047">
    <w:abstractNumId w:val="5"/>
  </w:num>
  <w:num w:numId="18" w16cid:durableId="1729499897">
    <w:abstractNumId w:val="39"/>
  </w:num>
  <w:num w:numId="19" w16cid:durableId="2132505946">
    <w:abstractNumId w:val="24"/>
  </w:num>
  <w:num w:numId="20" w16cid:durableId="1541359452">
    <w:abstractNumId w:val="26"/>
  </w:num>
  <w:num w:numId="21" w16cid:durableId="434911651">
    <w:abstractNumId w:val="29"/>
  </w:num>
  <w:num w:numId="22" w16cid:durableId="1089351798">
    <w:abstractNumId w:val="34"/>
  </w:num>
  <w:num w:numId="23" w16cid:durableId="12651935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8"/>
  </w:num>
  <w:num w:numId="26" w16cid:durableId="1325013784">
    <w:abstractNumId w:val="14"/>
  </w:num>
  <w:num w:numId="27" w16cid:durableId="118502479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8"/>
  </w:num>
  <w:num w:numId="29" w16cid:durableId="583146408">
    <w:abstractNumId w:val="23"/>
  </w:num>
  <w:num w:numId="30" w16cid:durableId="133329015">
    <w:abstractNumId w:val="17"/>
  </w:num>
  <w:num w:numId="31" w16cid:durableId="1559319133">
    <w:abstractNumId w:val="31"/>
  </w:num>
  <w:num w:numId="32" w16cid:durableId="2147239570">
    <w:abstractNumId w:val="10"/>
  </w:num>
  <w:num w:numId="33" w16cid:durableId="457382409">
    <w:abstractNumId w:val="8"/>
  </w:num>
  <w:num w:numId="34" w16cid:durableId="972101933">
    <w:abstractNumId w:val="3"/>
  </w:num>
  <w:num w:numId="35" w16cid:durableId="1836727596">
    <w:abstractNumId w:val="18"/>
  </w:num>
  <w:num w:numId="36" w16cid:durableId="61105151">
    <w:abstractNumId w:val="25"/>
  </w:num>
  <w:num w:numId="37" w16cid:durableId="281304752">
    <w:abstractNumId w:val="30"/>
  </w:num>
  <w:num w:numId="38" w16cid:durableId="1222055391">
    <w:abstractNumId w:val="32"/>
  </w:num>
  <w:num w:numId="39" w16cid:durableId="1579637143">
    <w:abstractNumId w:val="33"/>
  </w:num>
  <w:num w:numId="40" w16cid:durableId="93520377">
    <w:abstractNumId w:val="9"/>
  </w:num>
  <w:num w:numId="41" w16cid:durableId="272565275">
    <w:abstractNumId w:val="40"/>
  </w:num>
  <w:num w:numId="42" w16cid:durableId="1375616437">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3C8"/>
    <w:rsid w:val="0003097B"/>
    <w:rsid w:val="00033AAE"/>
    <w:rsid w:val="00043BD2"/>
    <w:rsid w:val="00054DAF"/>
    <w:rsid w:val="00060B8A"/>
    <w:rsid w:val="00075F1C"/>
    <w:rsid w:val="000838F8"/>
    <w:rsid w:val="00083CA6"/>
    <w:rsid w:val="00083EED"/>
    <w:rsid w:val="00091B94"/>
    <w:rsid w:val="000A6D2A"/>
    <w:rsid w:val="000B12D1"/>
    <w:rsid w:val="000E161A"/>
    <w:rsid w:val="000F44F6"/>
    <w:rsid w:val="000F7D63"/>
    <w:rsid w:val="00114B76"/>
    <w:rsid w:val="00117D4C"/>
    <w:rsid w:val="001305A1"/>
    <w:rsid w:val="00133A95"/>
    <w:rsid w:val="001543EA"/>
    <w:rsid w:val="0016296A"/>
    <w:rsid w:val="00163800"/>
    <w:rsid w:val="00167EA1"/>
    <w:rsid w:val="0017164A"/>
    <w:rsid w:val="001733FD"/>
    <w:rsid w:val="00181DD3"/>
    <w:rsid w:val="00184C8F"/>
    <w:rsid w:val="0019596D"/>
    <w:rsid w:val="001A3B3F"/>
    <w:rsid w:val="001A4CB2"/>
    <w:rsid w:val="001E7F11"/>
    <w:rsid w:val="00200C4A"/>
    <w:rsid w:val="0021185D"/>
    <w:rsid w:val="00216D6E"/>
    <w:rsid w:val="002229B6"/>
    <w:rsid w:val="002550C7"/>
    <w:rsid w:val="00256B79"/>
    <w:rsid w:val="00264614"/>
    <w:rsid w:val="00274CC1"/>
    <w:rsid w:val="00280ED9"/>
    <w:rsid w:val="002A609F"/>
    <w:rsid w:val="002C1C14"/>
    <w:rsid w:val="002C2248"/>
    <w:rsid w:val="002C5640"/>
    <w:rsid w:val="002C5E53"/>
    <w:rsid w:val="002F74C8"/>
    <w:rsid w:val="0030202C"/>
    <w:rsid w:val="00302D72"/>
    <w:rsid w:val="00310B14"/>
    <w:rsid w:val="00314A9E"/>
    <w:rsid w:val="00315A37"/>
    <w:rsid w:val="00325D90"/>
    <w:rsid w:val="00335740"/>
    <w:rsid w:val="00350EB8"/>
    <w:rsid w:val="00356782"/>
    <w:rsid w:val="00394B1B"/>
    <w:rsid w:val="00395538"/>
    <w:rsid w:val="003A66C0"/>
    <w:rsid w:val="003B4B23"/>
    <w:rsid w:val="003D675E"/>
    <w:rsid w:val="0040727E"/>
    <w:rsid w:val="004233FF"/>
    <w:rsid w:val="0042558A"/>
    <w:rsid w:val="0042594C"/>
    <w:rsid w:val="00430343"/>
    <w:rsid w:val="004333FC"/>
    <w:rsid w:val="004561FC"/>
    <w:rsid w:val="004609BB"/>
    <w:rsid w:val="004B2352"/>
    <w:rsid w:val="004C277B"/>
    <w:rsid w:val="004C4F86"/>
    <w:rsid w:val="004D1FC2"/>
    <w:rsid w:val="004D2F28"/>
    <w:rsid w:val="004D7A71"/>
    <w:rsid w:val="005066D4"/>
    <w:rsid w:val="00515EB4"/>
    <w:rsid w:val="00545C6D"/>
    <w:rsid w:val="00546B9E"/>
    <w:rsid w:val="00553139"/>
    <w:rsid w:val="00571853"/>
    <w:rsid w:val="005816FC"/>
    <w:rsid w:val="005836DC"/>
    <w:rsid w:val="0058395F"/>
    <w:rsid w:val="00585028"/>
    <w:rsid w:val="005C26ED"/>
    <w:rsid w:val="005E5F72"/>
    <w:rsid w:val="00611319"/>
    <w:rsid w:val="00611AD3"/>
    <w:rsid w:val="00620233"/>
    <w:rsid w:val="006458C0"/>
    <w:rsid w:val="00680938"/>
    <w:rsid w:val="00684911"/>
    <w:rsid w:val="00687368"/>
    <w:rsid w:val="00697DE2"/>
    <w:rsid w:val="006A4BE9"/>
    <w:rsid w:val="006C2F21"/>
    <w:rsid w:val="006D4872"/>
    <w:rsid w:val="006D7008"/>
    <w:rsid w:val="006D7169"/>
    <w:rsid w:val="006E7034"/>
    <w:rsid w:val="007260EA"/>
    <w:rsid w:val="0073162E"/>
    <w:rsid w:val="00736B55"/>
    <w:rsid w:val="0074012F"/>
    <w:rsid w:val="0074212D"/>
    <w:rsid w:val="00772F50"/>
    <w:rsid w:val="00792193"/>
    <w:rsid w:val="007A6C0F"/>
    <w:rsid w:val="007B624D"/>
    <w:rsid w:val="007B689E"/>
    <w:rsid w:val="007B7B9D"/>
    <w:rsid w:val="007C64D9"/>
    <w:rsid w:val="007D126B"/>
    <w:rsid w:val="0082660F"/>
    <w:rsid w:val="00853810"/>
    <w:rsid w:val="0086173D"/>
    <w:rsid w:val="00867075"/>
    <w:rsid w:val="008A4A15"/>
    <w:rsid w:val="008C241C"/>
    <w:rsid w:val="008E08BD"/>
    <w:rsid w:val="008E4295"/>
    <w:rsid w:val="008E504D"/>
    <w:rsid w:val="008F2FCD"/>
    <w:rsid w:val="009135F2"/>
    <w:rsid w:val="00923814"/>
    <w:rsid w:val="00935713"/>
    <w:rsid w:val="00935E94"/>
    <w:rsid w:val="0094746F"/>
    <w:rsid w:val="009513AA"/>
    <w:rsid w:val="009514D5"/>
    <w:rsid w:val="00963D71"/>
    <w:rsid w:val="00971150"/>
    <w:rsid w:val="00980A86"/>
    <w:rsid w:val="00980B47"/>
    <w:rsid w:val="009923C8"/>
    <w:rsid w:val="00996D82"/>
    <w:rsid w:val="009A7920"/>
    <w:rsid w:val="009B3B5A"/>
    <w:rsid w:val="009B48A8"/>
    <w:rsid w:val="009C08F6"/>
    <w:rsid w:val="009D0306"/>
    <w:rsid w:val="009D6E8A"/>
    <w:rsid w:val="009D77A5"/>
    <w:rsid w:val="009F275A"/>
    <w:rsid w:val="009F56AC"/>
    <w:rsid w:val="00A02ED5"/>
    <w:rsid w:val="00A06E21"/>
    <w:rsid w:val="00A1097B"/>
    <w:rsid w:val="00A233DC"/>
    <w:rsid w:val="00A26A93"/>
    <w:rsid w:val="00A31064"/>
    <w:rsid w:val="00A33B57"/>
    <w:rsid w:val="00A42CE8"/>
    <w:rsid w:val="00A67A6E"/>
    <w:rsid w:val="00A81B75"/>
    <w:rsid w:val="00A85286"/>
    <w:rsid w:val="00AC1750"/>
    <w:rsid w:val="00AD47C0"/>
    <w:rsid w:val="00AE04F2"/>
    <w:rsid w:val="00AE1B13"/>
    <w:rsid w:val="00AE2074"/>
    <w:rsid w:val="00B02B5C"/>
    <w:rsid w:val="00B070F8"/>
    <w:rsid w:val="00B2387C"/>
    <w:rsid w:val="00B26E57"/>
    <w:rsid w:val="00B335D0"/>
    <w:rsid w:val="00B35976"/>
    <w:rsid w:val="00B419A8"/>
    <w:rsid w:val="00B5117E"/>
    <w:rsid w:val="00B620D5"/>
    <w:rsid w:val="00B64DED"/>
    <w:rsid w:val="00B66506"/>
    <w:rsid w:val="00B66AB7"/>
    <w:rsid w:val="00B741A8"/>
    <w:rsid w:val="00B7509B"/>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0E54"/>
    <w:rsid w:val="00C8261F"/>
    <w:rsid w:val="00C8792B"/>
    <w:rsid w:val="00CB6A54"/>
    <w:rsid w:val="00CC067E"/>
    <w:rsid w:val="00CD2F65"/>
    <w:rsid w:val="00CF1D18"/>
    <w:rsid w:val="00D030CB"/>
    <w:rsid w:val="00D06C44"/>
    <w:rsid w:val="00D21B73"/>
    <w:rsid w:val="00D26002"/>
    <w:rsid w:val="00D2771F"/>
    <w:rsid w:val="00D377F8"/>
    <w:rsid w:val="00D42731"/>
    <w:rsid w:val="00D44AA7"/>
    <w:rsid w:val="00D5450E"/>
    <w:rsid w:val="00D603EF"/>
    <w:rsid w:val="00D70A45"/>
    <w:rsid w:val="00D82155"/>
    <w:rsid w:val="00D963D0"/>
    <w:rsid w:val="00D965A0"/>
    <w:rsid w:val="00DB369F"/>
    <w:rsid w:val="00DD7B0A"/>
    <w:rsid w:val="00DE74F3"/>
    <w:rsid w:val="00E069E9"/>
    <w:rsid w:val="00E14C45"/>
    <w:rsid w:val="00E15432"/>
    <w:rsid w:val="00E25C7B"/>
    <w:rsid w:val="00E3103F"/>
    <w:rsid w:val="00E315F6"/>
    <w:rsid w:val="00E36F56"/>
    <w:rsid w:val="00E441F1"/>
    <w:rsid w:val="00E50FF8"/>
    <w:rsid w:val="00E61456"/>
    <w:rsid w:val="00E7126F"/>
    <w:rsid w:val="00E8310E"/>
    <w:rsid w:val="00E8482A"/>
    <w:rsid w:val="00E92BDF"/>
    <w:rsid w:val="00E9525A"/>
    <w:rsid w:val="00EC7BED"/>
    <w:rsid w:val="00EE2CB4"/>
    <w:rsid w:val="00EF0022"/>
    <w:rsid w:val="00EF7B9C"/>
    <w:rsid w:val="00F000B3"/>
    <w:rsid w:val="00F00402"/>
    <w:rsid w:val="00F00C5A"/>
    <w:rsid w:val="00F121F7"/>
    <w:rsid w:val="00F25D12"/>
    <w:rsid w:val="00F32565"/>
    <w:rsid w:val="00F371CF"/>
    <w:rsid w:val="00F52F3C"/>
    <w:rsid w:val="00F601FE"/>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18C53"/>
  <w15:chartTrackingRefBased/>
  <w15:docId w15:val="{13A13FA0-DC82-4A73-8DF7-FDAA8CE9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 w:type="paragraph" w:styleId="BodyTextIndent2">
    <w:name w:val="Body Text Indent 2"/>
    <w:basedOn w:val="Normal"/>
    <w:link w:val="BodyTextIndent2Char"/>
    <w:uiPriority w:val="99"/>
    <w:semiHidden/>
    <w:unhideWhenUsed/>
    <w:rsid w:val="00F371CF"/>
    <w:pPr>
      <w:spacing w:before="120" w:line="480" w:lineRule="auto"/>
      <w:ind w:left="283"/>
    </w:pPr>
    <w:rPr>
      <w:rFonts w:ascii="Gill Sans MT" w:eastAsia="Gill Sans MT Std Light" w:hAnsi="Gill Sans MT" w:cs="Times New Roman"/>
      <w:spacing w:val="-2"/>
      <w:kern w:val="0"/>
      <w14:ligatures w14:val="none"/>
    </w:rPr>
  </w:style>
  <w:style w:type="character" w:customStyle="1" w:styleId="BodyTextIndent2Char">
    <w:name w:val="Body Text Indent 2 Char"/>
    <w:basedOn w:val="DefaultParagraphFont"/>
    <w:link w:val="BodyTextIndent2"/>
    <w:uiPriority w:val="99"/>
    <w:semiHidden/>
    <w:rsid w:val="00F371CF"/>
    <w:rPr>
      <w:rFonts w:ascii="Gill Sans MT" w:eastAsia="Gill Sans MT Std Light" w:hAnsi="Gill Sans MT" w:cs="Times New Roman"/>
      <w:spacing w:val="-2"/>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tas.gov.au/documentcentre/Documents/Conditions-of-Use-Policy-for-All-Users-of-Information-and-Communication-Technology.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ac.tas.gov.au/divisions/ssm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322BA3033C4311984FF0E623CF5632"/>
        <w:category>
          <w:name w:val="General"/>
          <w:gallery w:val="placeholder"/>
        </w:category>
        <w:types>
          <w:type w:val="bbPlcHdr"/>
        </w:types>
        <w:behaviors>
          <w:behavior w:val="content"/>
        </w:behaviors>
        <w:guid w:val="{F9D63182-B4D9-49E3-AD47-76B999198505}"/>
      </w:docPartPr>
      <w:docPartBody>
        <w:p w:rsidR="003A6BEC" w:rsidRDefault="003A6BEC">
          <w:pPr>
            <w:pStyle w:val="EF322BA3033C4311984FF0E623CF5632"/>
          </w:pPr>
          <w:r w:rsidRPr="00370966">
            <w:rPr>
              <w:rStyle w:val="PlaceholderText"/>
            </w:rPr>
            <w:t>[Title]</w:t>
          </w:r>
        </w:p>
      </w:docPartBody>
    </w:docPart>
    <w:docPart>
      <w:docPartPr>
        <w:name w:val="C19BD62EDD264C728CF3B5DF29542BBD"/>
        <w:category>
          <w:name w:val="General"/>
          <w:gallery w:val="placeholder"/>
        </w:category>
        <w:types>
          <w:type w:val="bbPlcHdr"/>
        </w:types>
        <w:behaviors>
          <w:behavior w:val="content"/>
        </w:behaviors>
        <w:guid w:val="{E3E097D4-E4E7-4A2C-B0A2-495355FAC989}"/>
      </w:docPartPr>
      <w:docPartBody>
        <w:p w:rsidR="003A6BEC" w:rsidRDefault="003A6BEC">
          <w:pPr>
            <w:pStyle w:val="C19BD62EDD264C728CF3B5DF29542BBD"/>
          </w:pPr>
          <w:r w:rsidRPr="00A11DEF">
            <w:rPr>
              <w:rStyle w:val="PlaceholderText"/>
            </w:rPr>
            <w:t>Choose an item.</w:t>
          </w:r>
        </w:p>
      </w:docPartBody>
    </w:docPart>
    <w:docPart>
      <w:docPartPr>
        <w:name w:val="E88F4EDCDA0B43D5948FBF886D6521B9"/>
        <w:category>
          <w:name w:val="General"/>
          <w:gallery w:val="placeholder"/>
        </w:category>
        <w:types>
          <w:type w:val="bbPlcHdr"/>
        </w:types>
        <w:behaviors>
          <w:behavior w:val="content"/>
        </w:behaviors>
        <w:guid w:val="{4B7B4809-852F-42A3-9805-B77816378D81}"/>
      </w:docPartPr>
      <w:docPartBody>
        <w:p w:rsidR="003A6BEC" w:rsidRDefault="003A6BEC">
          <w:pPr>
            <w:pStyle w:val="E88F4EDCDA0B43D5948FBF886D6521B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B667A434271E4792B21EC2D0B053538F"/>
        <w:category>
          <w:name w:val="General"/>
          <w:gallery w:val="placeholder"/>
        </w:category>
        <w:types>
          <w:type w:val="bbPlcHdr"/>
        </w:types>
        <w:behaviors>
          <w:behavior w:val="content"/>
        </w:behaviors>
        <w:guid w:val="{00866206-4131-4609-B72A-EB5849DE9E49}"/>
      </w:docPartPr>
      <w:docPartBody>
        <w:p w:rsidR="003A6BEC" w:rsidRDefault="003A6BEC">
          <w:pPr>
            <w:pStyle w:val="B667A434271E4792B21EC2D0B053538F"/>
          </w:pPr>
          <w:r w:rsidRPr="00A11D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BEC"/>
    <w:rsid w:val="00114B76"/>
    <w:rsid w:val="00274DE2"/>
    <w:rsid w:val="003A6BEC"/>
    <w:rsid w:val="00B335D0"/>
    <w:rsid w:val="00C95D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74DE2"/>
    <w:rPr>
      <w:color w:val="808080"/>
    </w:rPr>
  </w:style>
  <w:style w:type="paragraph" w:customStyle="1" w:styleId="EF322BA3033C4311984FF0E623CF5632">
    <w:name w:val="EF322BA3033C4311984FF0E623CF5632"/>
  </w:style>
  <w:style w:type="paragraph" w:customStyle="1" w:styleId="C19BD62EDD264C728CF3B5DF29542BBD">
    <w:name w:val="C19BD62EDD264C728CF3B5DF29542BBD"/>
  </w:style>
  <w:style w:type="paragraph" w:customStyle="1" w:styleId="E88F4EDCDA0B43D5948FBF886D6521B9">
    <w:name w:val="E88F4EDCDA0B43D5948FBF886D6521B9"/>
  </w:style>
  <w:style w:type="paragraph" w:customStyle="1" w:styleId="B667A434271E4792B21EC2D0B053538F">
    <w:name w:val="B667A434271E4792B21EC2D0B053538F"/>
  </w:style>
  <w:style w:type="paragraph" w:customStyle="1" w:styleId="0B87DBB367584AA0BF9D3145AD527657">
    <w:name w:val="0B87DBB367584AA0BF9D3145AD527657"/>
    <w:rsid w:val="00274D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4" ma:contentTypeDescription="Create a new document." ma:contentTypeScope="" ma:versionID="0501f6e31248bd895a545efba789e80f">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4920e218f030ae8a2013e94a8da5425a"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Image xmlns="2d64ee2f-da05-46fd-962f-fa029d0171c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513294-8EB6-425A-937C-180899AE2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customXml/itemProps3.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4.xml><?xml version="1.0" encoding="utf-8"?>
<ds:datastoreItem xmlns:ds="http://schemas.openxmlformats.org/officeDocument/2006/customXml" ds:itemID="{57772CBF-223C-4949-9DFF-89402CD869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1915</Words>
  <Characters>10919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12809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Coordinator</dc:title>
  <dc:subject/>
  <dc:creator>Warr, Shell</dc:creator>
  <cp:keywords/>
  <dc:description/>
  <cp:lastModifiedBy>Rye, Erin</cp:lastModifiedBy>
  <cp:revision>24</cp:revision>
  <cp:lastPrinted>2024-11-05T23:28:00Z</cp:lastPrinted>
  <dcterms:created xsi:type="dcterms:W3CDTF">2024-11-05T22:40:00Z</dcterms:created>
  <dcterms:modified xsi:type="dcterms:W3CDTF">2024-11-05T23:29:00Z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