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723EF5B2AD1344E5B64950120EAA0FA3"/>
        </w:placeholder>
        <w:dataBinding w:prefixMappings="xmlns:ns0='http://purl.org/dc/elements/1.1/' xmlns:ns1='http://schemas.openxmlformats.org/package/2006/metadata/core-properties' " w:xpath="/ns1:coreProperties[1]/ns0:title[1]" w:storeItemID="{6C3C8BC8-F283-45AE-878A-BAB7291924A1}"/>
        <w:text/>
      </w:sdtPr>
      <w:sdtEndPr/>
      <w:sdtContent>
        <w:p w14:paraId="01C38C75" w14:textId="77777777" w:rsidR="009D6E8A" w:rsidRPr="00274CC1" w:rsidRDefault="00AE6130" w:rsidP="00F87871">
          <w:pPr>
            <w:pStyle w:val="Title"/>
            <w:spacing w:after="120" w:line="288" w:lineRule="auto"/>
            <w:contextualSpacing w:val="0"/>
            <w:jc w:val="both"/>
            <w:rPr>
              <w:color w:val="001947" w:themeColor="accent6"/>
              <w:sz w:val="48"/>
              <w:szCs w:val="48"/>
            </w:rPr>
          </w:pPr>
          <w:r>
            <w:rPr>
              <w:color w:val="001947" w:themeColor="accent6"/>
              <w:sz w:val="48"/>
              <w:szCs w:val="48"/>
            </w:rPr>
            <w:t>Senior Systems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A39D98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5F026AA" w14:textId="77777777" w:rsidR="009D6E8A" w:rsidRPr="0057614B" w:rsidRDefault="00AE6130" w:rsidP="00F87871">
            <w:pPr>
              <w:spacing w:after="120"/>
              <w:jc w:val="both"/>
              <w:rPr>
                <w:bCs/>
                <w:sz w:val="28"/>
                <w:szCs w:val="28"/>
              </w:rPr>
            </w:pPr>
            <w:r>
              <w:rPr>
                <w:color w:val="001947" w:themeColor="accent6"/>
                <w:sz w:val="28"/>
                <w:szCs w:val="28"/>
              </w:rPr>
              <w:t>statement of duties</w:t>
            </w:r>
            <w:r w:rsidR="009D6E8A" w:rsidRPr="00E8310E">
              <w:rPr>
                <w:color w:val="001947" w:themeColor="accent6"/>
                <w:sz w:val="28"/>
                <w:szCs w:val="28"/>
              </w:rPr>
              <w:t xml:space="preserve"> </w:t>
            </w:r>
          </w:p>
        </w:tc>
        <w:tc>
          <w:tcPr>
            <w:tcW w:w="4846" w:type="dxa"/>
          </w:tcPr>
          <w:p w14:paraId="29083083" w14:textId="77777777" w:rsidR="009D6E8A" w:rsidRPr="0057614B" w:rsidRDefault="00AE6130" w:rsidP="00F87871">
            <w:pPr>
              <w:spacing w:after="120"/>
              <w:jc w:val="right"/>
              <w:rPr>
                <w:sz w:val="28"/>
                <w:szCs w:val="28"/>
              </w:rPr>
            </w:pPr>
            <w:r>
              <w:rPr>
                <w:color w:val="001947" w:themeColor="accent6"/>
                <w:sz w:val="28"/>
                <w:szCs w:val="28"/>
              </w:rPr>
              <w:t xml:space="preserve">february </w:t>
            </w:r>
            <w:r w:rsidR="00B34F12">
              <w:rPr>
                <w:color w:val="001947" w:themeColor="accent6"/>
                <w:sz w:val="28"/>
                <w:szCs w:val="28"/>
              </w:rPr>
              <w:t>2026</w:t>
            </w:r>
          </w:p>
        </w:tc>
      </w:tr>
      <w:tr w:rsidR="00D2771F" w14:paraId="58A7E449" w14:textId="77777777" w:rsidTr="00D2771F">
        <w:trPr>
          <w:trHeight w:val="385"/>
        </w:trPr>
        <w:tc>
          <w:tcPr>
            <w:tcW w:w="3152" w:type="dxa"/>
          </w:tcPr>
          <w:p w14:paraId="585AAB8A"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2973C060" w14:textId="5F545886" w:rsidR="00D2771F" w:rsidRPr="00BF7FC7" w:rsidRDefault="00712159" w:rsidP="00F87871">
            <w:pPr>
              <w:pStyle w:val="TableBodyText"/>
              <w:spacing w:after="120" w:line="240" w:lineRule="auto"/>
              <w:jc w:val="both"/>
              <w:rPr>
                <w:sz w:val="24"/>
                <w:szCs w:val="24"/>
              </w:rPr>
            </w:pPr>
            <w:r>
              <w:rPr>
                <w:sz w:val="24"/>
                <w:szCs w:val="24"/>
              </w:rPr>
              <w:t>980447</w:t>
            </w:r>
          </w:p>
        </w:tc>
      </w:tr>
      <w:tr w:rsidR="00D2771F" w14:paraId="7A8B0112"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EDB450"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292B3B34" w14:textId="77777777" w:rsidR="00D2771F" w:rsidRPr="00BF7FC7" w:rsidRDefault="0003637C" w:rsidP="00F87871">
            <w:pPr>
              <w:pStyle w:val="TableBodyText"/>
              <w:spacing w:after="120" w:line="240" w:lineRule="auto"/>
              <w:jc w:val="both"/>
              <w:rPr>
                <w:sz w:val="24"/>
                <w:szCs w:val="24"/>
              </w:rPr>
            </w:pPr>
            <w:sdt>
              <w:sdtPr>
                <w:rPr>
                  <w:sz w:val="24"/>
                  <w:szCs w:val="24"/>
                </w:rPr>
                <w:id w:val="-1794978893"/>
                <w:placeholder>
                  <w:docPart w:val="2E55F0076FE8496EA965F74B2E11FFCC"/>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6F0172">
                  <w:rPr>
                    <w:sz w:val="24"/>
                    <w:szCs w:val="24"/>
                  </w:rPr>
                  <w:t>Office of the Secretary</w:t>
                </w:r>
              </w:sdtContent>
            </w:sdt>
          </w:p>
        </w:tc>
      </w:tr>
      <w:tr w:rsidR="00D2771F" w14:paraId="343893A3" w14:textId="77777777" w:rsidTr="00D2771F">
        <w:trPr>
          <w:trHeight w:val="385"/>
        </w:trPr>
        <w:tc>
          <w:tcPr>
            <w:tcW w:w="3152" w:type="dxa"/>
          </w:tcPr>
          <w:p w14:paraId="41B4FECF"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57A01AFF" w14:textId="77777777" w:rsidR="00D2771F" w:rsidRPr="00AE6130" w:rsidRDefault="006F0172" w:rsidP="00F87871">
            <w:pPr>
              <w:pStyle w:val="TableBodyText"/>
              <w:spacing w:after="120" w:line="240" w:lineRule="auto"/>
              <w:jc w:val="both"/>
              <w:rPr>
                <w:sz w:val="24"/>
                <w:szCs w:val="24"/>
              </w:rPr>
            </w:pPr>
            <w:r w:rsidRPr="00AE6130">
              <w:rPr>
                <w:rFonts w:eastAsia="Times New Roman" w:cs="Arial"/>
                <w:bCs/>
                <w:sz w:val="24"/>
                <w:szCs w:val="24"/>
              </w:rPr>
              <w:t>Education Regulation</w:t>
            </w:r>
          </w:p>
        </w:tc>
      </w:tr>
      <w:tr w:rsidR="00D2771F" w14:paraId="3708D691"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9849660"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6E89C99F" w14:textId="77777777" w:rsidR="00D2771F" w:rsidRPr="00AE6130" w:rsidRDefault="006F0172" w:rsidP="00F87871">
            <w:pPr>
              <w:pStyle w:val="TableBodyText"/>
              <w:spacing w:after="120" w:line="240" w:lineRule="auto"/>
              <w:jc w:val="both"/>
              <w:rPr>
                <w:sz w:val="24"/>
                <w:szCs w:val="24"/>
              </w:rPr>
            </w:pPr>
            <w:r w:rsidRPr="00AE6130">
              <w:rPr>
                <w:rFonts w:eastAsia="Times New Roman" w:cs="Arial"/>
                <w:bCs/>
                <w:sz w:val="24"/>
                <w:szCs w:val="24"/>
              </w:rPr>
              <w:t>Tasmanian Assessment, Standards and Certification (TASC)</w:t>
            </w:r>
          </w:p>
        </w:tc>
      </w:tr>
      <w:tr w:rsidR="00D2771F" w14:paraId="3F2BD3D4" w14:textId="77777777" w:rsidTr="00D2771F">
        <w:trPr>
          <w:trHeight w:val="362"/>
        </w:trPr>
        <w:tc>
          <w:tcPr>
            <w:tcW w:w="3152" w:type="dxa"/>
          </w:tcPr>
          <w:p w14:paraId="691C519D"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7E73E52C" w14:textId="77777777" w:rsidR="00D2771F" w:rsidRPr="00AE6130" w:rsidRDefault="006F0172" w:rsidP="00F87871">
            <w:pPr>
              <w:pStyle w:val="TableBodyText"/>
              <w:spacing w:after="120" w:line="240" w:lineRule="auto"/>
              <w:jc w:val="both"/>
              <w:rPr>
                <w:sz w:val="24"/>
                <w:szCs w:val="24"/>
              </w:rPr>
            </w:pPr>
            <w:r w:rsidRPr="00AE6130">
              <w:rPr>
                <w:sz w:val="24"/>
                <w:szCs w:val="24"/>
              </w:rPr>
              <w:t>Lead – Data Systems</w:t>
            </w:r>
          </w:p>
        </w:tc>
      </w:tr>
      <w:tr w:rsidR="00984C70" w14:paraId="1C609039"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F6A35D3" w14:textId="77777777"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bCs/>
                <w:sz w:val="24"/>
                <w:szCs w:val="24"/>
              </w:rPr>
              <w:id w:val="1431852964"/>
              <w:placeholder>
                <w:docPart w:val="5AF6BD1C2DFB476A8EC2EE92B5B3D56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789F8FE7" w14:textId="77777777" w:rsidR="00984C70" w:rsidRPr="00AE6130" w:rsidRDefault="006F0172" w:rsidP="00F87871">
                <w:pPr>
                  <w:pStyle w:val="TableBodyText"/>
                  <w:spacing w:after="120" w:line="240" w:lineRule="auto"/>
                  <w:jc w:val="both"/>
                  <w:rPr>
                    <w:rFonts w:eastAsia="Times New Roman" w:cs="Arial"/>
                    <w:bCs/>
                    <w:sz w:val="24"/>
                    <w:szCs w:val="24"/>
                  </w:rPr>
                </w:pPr>
                <w:r w:rsidRPr="00AE6130">
                  <w:rPr>
                    <w:rFonts w:eastAsia="Times New Roman" w:cs="Arial"/>
                    <w:bCs/>
                    <w:sz w:val="24"/>
                    <w:szCs w:val="24"/>
                  </w:rPr>
                  <w:t>Tasmanian State Service Award</w:t>
                </w:r>
              </w:p>
            </w:sdtContent>
          </w:sdt>
        </w:tc>
      </w:tr>
      <w:tr w:rsidR="00984C70" w14:paraId="2CAFF0AA" w14:textId="77777777" w:rsidTr="00D2771F">
        <w:trPr>
          <w:trHeight w:val="362"/>
        </w:trPr>
        <w:tc>
          <w:tcPr>
            <w:tcW w:w="3152" w:type="dxa"/>
          </w:tcPr>
          <w:p w14:paraId="3F89A590"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EA14A66" w14:textId="77777777" w:rsidR="00984C70" w:rsidRPr="00AE6130" w:rsidRDefault="006F0172" w:rsidP="00F87871">
            <w:pPr>
              <w:pStyle w:val="TableBodyText"/>
              <w:spacing w:after="120" w:line="240" w:lineRule="auto"/>
              <w:jc w:val="both"/>
              <w:rPr>
                <w:sz w:val="24"/>
                <w:szCs w:val="24"/>
              </w:rPr>
            </w:pPr>
            <w:r w:rsidRPr="00AE6130">
              <w:rPr>
                <w:rFonts w:eastAsia="Times New Roman" w:cs="Arial"/>
                <w:bCs/>
                <w:sz w:val="24"/>
                <w:szCs w:val="24"/>
              </w:rPr>
              <w:t>General Stream Band 6</w:t>
            </w:r>
          </w:p>
        </w:tc>
      </w:tr>
      <w:tr w:rsidR="00984C70" w14:paraId="77802AE5"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4B079C7"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313CC732" w14:textId="77777777" w:rsidR="00984C70" w:rsidRPr="00AE6130" w:rsidRDefault="0003637C"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0BEDA389054A4E23AE61FCB5923111E2"/>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6F0172" w:rsidRPr="00AE6130">
                  <w:rPr>
                    <w:rStyle w:val="PlaceholderText"/>
                    <w:color w:val="auto"/>
                    <w:sz w:val="24"/>
                    <w:szCs w:val="24"/>
                  </w:rPr>
                  <w:t>Fixed-term, Full-time</w:t>
                </w:r>
              </w:sdtContent>
            </w:sdt>
          </w:p>
          <w:p w14:paraId="03B2A568" w14:textId="77777777" w:rsidR="00984C70" w:rsidRPr="00AE6130" w:rsidRDefault="006F0172" w:rsidP="00F87871">
            <w:pPr>
              <w:spacing w:after="120" w:line="240" w:lineRule="auto"/>
              <w:jc w:val="both"/>
              <w:rPr>
                <w:rFonts w:eastAsia="Times New Roman" w:cs="Arial"/>
                <w:sz w:val="24"/>
                <w:szCs w:val="24"/>
              </w:rPr>
            </w:pPr>
            <w:r w:rsidRPr="00AE6130">
              <w:rPr>
                <w:rFonts w:eastAsia="Times New Roman" w:cs="Arial"/>
                <w:sz w:val="24"/>
                <w:szCs w:val="24"/>
              </w:rPr>
              <w:t>73.5</w:t>
            </w:r>
            <w:r w:rsidR="00984C70" w:rsidRPr="00AE6130">
              <w:rPr>
                <w:rFonts w:eastAsia="Times New Roman" w:cs="Arial"/>
                <w:sz w:val="24"/>
                <w:szCs w:val="24"/>
              </w:rPr>
              <w:t xml:space="preserve"> hours per fortnight, 52 weeks per year including 4 weeks annual leave</w:t>
            </w:r>
            <w:r w:rsidRPr="00AE6130">
              <w:rPr>
                <w:rFonts w:eastAsia="Times New Roman" w:cs="Arial"/>
                <w:sz w:val="24"/>
                <w:szCs w:val="24"/>
              </w:rPr>
              <w:t>.</w:t>
            </w:r>
          </w:p>
        </w:tc>
      </w:tr>
      <w:tr w:rsidR="00984C70" w14:paraId="517E9531" w14:textId="77777777" w:rsidTr="00D2771F">
        <w:trPr>
          <w:trHeight w:val="362"/>
        </w:trPr>
        <w:tc>
          <w:tcPr>
            <w:tcW w:w="3152" w:type="dxa"/>
          </w:tcPr>
          <w:p w14:paraId="0AFA822A"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4760392F" w14:textId="77777777" w:rsidR="00984C70" w:rsidRPr="00BF7FC7" w:rsidRDefault="0003637C" w:rsidP="00F87871">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FA9D6B88EC0A4B57AA12D620DA1034D3"/>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6F0172">
                  <w:rPr>
                    <w:rFonts w:eastAsia="Times New Roman"/>
                    <w:color w:val="000000" w:themeColor="text1"/>
                    <w:sz w:val="24"/>
                    <w:szCs w:val="24"/>
                  </w:rPr>
                  <w:t>South</w:t>
                </w:r>
              </w:sdtContent>
            </w:sdt>
            <w:r w:rsidR="00984C70" w:rsidRPr="00BF7FC7">
              <w:rPr>
                <w:rFonts w:eastAsia="Times New Roman"/>
                <w:color w:val="ED7D31"/>
                <w:sz w:val="24"/>
                <w:szCs w:val="24"/>
              </w:rPr>
              <w:t xml:space="preserve"> </w:t>
            </w:r>
          </w:p>
        </w:tc>
      </w:tr>
    </w:tbl>
    <w:p w14:paraId="002E5FD5" w14:textId="77777777" w:rsidR="00D2771F" w:rsidRDefault="00D2771F" w:rsidP="00F87871">
      <w:pPr>
        <w:pStyle w:val="Heading2"/>
        <w:spacing w:line="288" w:lineRule="auto"/>
        <w:jc w:val="both"/>
      </w:pPr>
      <w:r>
        <w:t>Context</w:t>
      </w:r>
    </w:p>
    <w:p w14:paraId="0E1F187E" w14:textId="77777777" w:rsidR="00D2771F" w:rsidRPr="00AE6130" w:rsidRDefault="006F0172" w:rsidP="00F87871">
      <w:pPr>
        <w:jc w:val="both"/>
      </w:pPr>
      <w:r w:rsidRPr="00AE6130">
        <w:rPr>
          <w:rFonts w:eastAsia="Times New Roman"/>
          <w:sz w:val="24"/>
          <w:szCs w:val="24"/>
        </w:rPr>
        <w:t>Tasmanian Assessment, Standards and Certification (TASC) is an independent education regulator governed by the </w:t>
      </w:r>
      <w:hyperlink r:id="rId12" w:history="1">
        <w:r w:rsidRPr="00AE6130">
          <w:rPr>
            <w:rFonts w:eastAsia="Times New Roman"/>
            <w:sz w:val="24"/>
            <w:szCs w:val="24"/>
          </w:rPr>
          <w:t>TASC Board</w:t>
        </w:r>
      </w:hyperlink>
      <w:r w:rsidRPr="00AE6130">
        <w:rPr>
          <w:rFonts w:eastAsia="Times New Roman"/>
          <w:sz w:val="24"/>
          <w:szCs w:val="24"/>
        </w:rPr>
        <w:t> and responsible to the Tasmanian Minister for Education. TASC is responsible for the development of appropriate standards, the accreditation of courses, and the assessment and certification of student achievement in senior secondary schooling across all educational sectors in Tasmania.</w:t>
      </w:r>
    </w:p>
    <w:p w14:paraId="59FB5065" w14:textId="77777777" w:rsidR="009D6E8A" w:rsidRPr="00190B67" w:rsidRDefault="009D6E8A" w:rsidP="00F87871">
      <w:pPr>
        <w:pStyle w:val="Heading2"/>
        <w:spacing w:line="288" w:lineRule="auto"/>
        <w:jc w:val="both"/>
      </w:pPr>
      <w:r w:rsidRPr="00190B67">
        <w:t>Primary Purpose</w:t>
      </w:r>
    </w:p>
    <w:p w14:paraId="19482ADC" w14:textId="77777777" w:rsidR="00D2771F" w:rsidRPr="00AE6130" w:rsidRDefault="006F0172" w:rsidP="00F87871">
      <w:pPr>
        <w:jc w:val="both"/>
        <w:rPr>
          <w:rFonts w:eastAsia="Times New Roman" w:cs="Arial"/>
          <w:sz w:val="24"/>
          <w:szCs w:val="24"/>
        </w:rPr>
      </w:pPr>
      <w:r w:rsidRPr="00AE6130">
        <w:rPr>
          <w:rFonts w:eastAsia="Times New Roman" w:cs="Arial"/>
          <w:sz w:val="24"/>
          <w:szCs w:val="24"/>
        </w:rPr>
        <w:t>To provide quality technical expertise and support services that drive the effective and efficient use of TASC business systems and data. Contribute to the delivery of projects that support the strategic and operational improvement of TASC business systems and service delivery.</w:t>
      </w:r>
    </w:p>
    <w:p w14:paraId="00A102C2" w14:textId="77777777" w:rsidR="009D6E8A" w:rsidRPr="00190B67" w:rsidRDefault="009D6E8A" w:rsidP="00F87871">
      <w:pPr>
        <w:pStyle w:val="Heading2"/>
        <w:spacing w:before="120" w:line="288" w:lineRule="auto"/>
        <w:jc w:val="both"/>
        <w:rPr>
          <w:color w:val="011947"/>
        </w:rPr>
      </w:pPr>
      <w:r w:rsidRPr="00190B67">
        <w:rPr>
          <w:color w:val="011947"/>
        </w:rPr>
        <w:lastRenderedPageBreak/>
        <w:t>Level of Responsibility/Direction and Supervision</w:t>
      </w:r>
    </w:p>
    <w:p w14:paraId="3BF36EDF" w14:textId="77777777" w:rsidR="006F0172" w:rsidRPr="00AE6130" w:rsidRDefault="006F0172" w:rsidP="006F0172">
      <w:pPr>
        <w:jc w:val="both"/>
        <w:rPr>
          <w:rFonts w:eastAsia="Times New Roman"/>
          <w:sz w:val="24"/>
          <w:szCs w:val="20"/>
        </w:rPr>
      </w:pPr>
      <w:bookmarkStart w:id="1" w:name="_Hlk127543251"/>
      <w:r w:rsidRPr="00AE6130">
        <w:rPr>
          <w:rFonts w:eastAsia="Times New Roman"/>
          <w:sz w:val="24"/>
          <w:szCs w:val="20"/>
        </w:rPr>
        <w:t>The occupant is responsible for the effective day-to-day management of TASC business systems together with other functions including the provision of timely and accurate systems advice, processes and reporting.</w:t>
      </w:r>
    </w:p>
    <w:p w14:paraId="04F122CE" w14:textId="77777777" w:rsidR="006F0172" w:rsidRPr="00AE6130" w:rsidRDefault="006F0172" w:rsidP="006F0172">
      <w:pPr>
        <w:jc w:val="both"/>
        <w:rPr>
          <w:rFonts w:eastAsia="Times New Roman"/>
          <w:sz w:val="24"/>
          <w:szCs w:val="20"/>
        </w:rPr>
      </w:pPr>
      <w:r w:rsidRPr="00AE6130">
        <w:rPr>
          <w:rFonts w:eastAsia="Times New Roman"/>
          <w:sz w:val="24"/>
          <w:szCs w:val="20"/>
        </w:rPr>
        <w:t>The occupant will work with considerable autonomy and must ensure confidentiality when handling sensitive student, school and system information and issues.</w:t>
      </w:r>
    </w:p>
    <w:p w14:paraId="31D0E3D9" w14:textId="77777777" w:rsidR="006F0172" w:rsidRPr="00AE6130" w:rsidRDefault="006F0172" w:rsidP="00F87871">
      <w:pPr>
        <w:jc w:val="both"/>
        <w:rPr>
          <w:rFonts w:eastAsia="Times New Roman"/>
          <w:sz w:val="24"/>
          <w:szCs w:val="20"/>
        </w:rPr>
      </w:pPr>
      <w:r w:rsidRPr="00AE6130">
        <w:rPr>
          <w:rFonts w:eastAsia="Times New Roman"/>
          <w:sz w:val="24"/>
          <w:szCs w:val="20"/>
        </w:rPr>
        <w:t>General direction and guidance are provided by the supervisor.</w:t>
      </w:r>
    </w:p>
    <w:p w14:paraId="35C1B959"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63F06A0A"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1920F24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FFA5B51" w14:textId="77777777" w:rsidR="001733FD" w:rsidRDefault="009D6E8A" w:rsidP="00F87871">
      <w:pPr>
        <w:pStyle w:val="Heading2"/>
        <w:spacing w:line="288" w:lineRule="auto"/>
        <w:jc w:val="both"/>
        <w:rPr>
          <w:color w:val="011947"/>
        </w:rPr>
      </w:pPr>
      <w:r w:rsidRPr="00190B67">
        <w:rPr>
          <w:color w:val="011947"/>
        </w:rPr>
        <w:t>Primary Duties</w:t>
      </w:r>
    </w:p>
    <w:p w14:paraId="628DF2A3"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6C04703" wp14:editId="3970F6F6">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F5788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AA24A9A" w14:textId="77777777" w:rsidR="006F0172" w:rsidRPr="00B34F12" w:rsidRDefault="006F0172" w:rsidP="00B34F1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Develop, maintain and support database, web application and reporting solutions; applying high-level technical expertise and analytical skills to investigate, diagnose and resolve complex and critical system, data and business issues.</w:t>
      </w:r>
    </w:p>
    <w:p w14:paraId="3F14EBA8" w14:textId="77777777" w:rsidR="006F0172" w:rsidRPr="00B34F12" w:rsidRDefault="006F0172" w:rsidP="00B34F1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Provide a quality project management service, including the design and development of systems, integrations and data standards, ensuring that systems projects are managed effectively and efficiently in line with project milestones.</w:t>
      </w:r>
    </w:p>
    <w:p w14:paraId="20A173A9" w14:textId="77777777" w:rsidR="00B34F12" w:rsidRPr="00B34F12" w:rsidRDefault="00B34F12" w:rsidP="00B34F1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 xml:space="preserve">Undertake research and </w:t>
      </w:r>
      <w:proofErr w:type="gramStart"/>
      <w:r w:rsidRPr="00B34F12">
        <w:rPr>
          <w:sz w:val="24"/>
          <w:szCs w:val="24"/>
        </w:rPr>
        <w:t>analysis, and</w:t>
      </w:r>
      <w:proofErr w:type="gramEnd"/>
      <w:r w:rsidRPr="00B34F12">
        <w:rPr>
          <w:sz w:val="24"/>
          <w:szCs w:val="24"/>
        </w:rPr>
        <w:t xml:space="preserve"> develop and implement proposals to facilitate improved use of TASC systems, incorporating resulting, data management and reporting.</w:t>
      </w:r>
    </w:p>
    <w:p w14:paraId="6CDED5E3" w14:textId="77777777" w:rsidR="00B34F12" w:rsidRPr="00B34F12" w:rsidRDefault="00B34F12" w:rsidP="00B34F1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Apply innovative, creative and critical thinking to business and/or technological issues and provide authoritative, specialised advice and high-level support to the TASC leadership team.</w:t>
      </w:r>
    </w:p>
    <w:p w14:paraId="3BC047D9" w14:textId="77777777" w:rsidR="00B34F12" w:rsidRPr="00B34F12" w:rsidRDefault="00B34F12" w:rsidP="00B34F1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 xml:space="preserve">Positively and professionally represent TASC through actively engaging with a diverse range of internal and external </w:t>
      </w:r>
      <w:proofErr w:type="gramStart"/>
      <w:r w:rsidRPr="00B34F12">
        <w:rPr>
          <w:sz w:val="24"/>
          <w:szCs w:val="24"/>
        </w:rPr>
        <w:t>stakeholders, and</w:t>
      </w:r>
      <w:proofErr w:type="gramEnd"/>
      <w:r w:rsidRPr="00B34F12">
        <w:rPr>
          <w:sz w:val="24"/>
          <w:szCs w:val="24"/>
        </w:rPr>
        <w:t xml:space="preserve"> providing a responsive and effective service that fosters ongoing relationships.</w:t>
      </w:r>
    </w:p>
    <w:p w14:paraId="5A911657"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0B12DE87"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DEF8921"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196C97A6"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76027B11"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3DBF1009" wp14:editId="65D70CD9">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37151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58382B1E" w14:textId="77777777" w:rsidR="00B34F12" w:rsidRPr="00B34F12" w:rsidRDefault="00B34F12" w:rsidP="00B34F1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High-level technical skills in relational database, web application and reporting solutions, and proven capacity to apply knowledge to the analysis and resolution of complex and critical problems or issues.</w:t>
      </w:r>
    </w:p>
    <w:p w14:paraId="7DDB061F" w14:textId="77777777" w:rsidR="00B34F12" w:rsidRPr="00B34F12" w:rsidRDefault="00B34F12" w:rsidP="00B34F1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Demonstrated research and analytical skills, along with experience implementing web solutions to deliver project outcomes relevant to a resulting, data management and reporting environment.</w:t>
      </w:r>
    </w:p>
    <w:p w14:paraId="5686C680" w14:textId="77777777" w:rsidR="00B34F12" w:rsidRPr="00B34F12" w:rsidRDefault="00B34F12" w:rsidP="00B34F1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High-level communication skills and experience, including the demonstrated ability to prepare documentation for a variety of audiences, together with the ability to communicate with influence and negotiate persuasively with sensitivity to the political and organisational context.</w:t>
      </w:r>
    </w:p>
    <w:p w14:paraId="0B7A046E" w14:textId="77777777" w:rsidR="00B34F12" w:rsidRPr="00B34F12" w:rsidRDefault="00B34F12" w:rsidP="00B34F1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Demonstrated high-level interpersonal, collaboration and teamwork skills, including the proven ability to build and maintain productive relationships with technical and non-technical project stakeholders.</w:t>
      </w:r>
    </w:p>
    <w:p w14:paraId="6308A0F6" w14:textId="77777777" w:rsidR="00B34F12" w:rsidRPr="00B34F12" w:rsidRDefault="00B34F12" w:rsidP="00B34F1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B34F12">
        <w:rPr>
          <w:sz w:val="24"/>
          <w:szCs w:val="24"/>
        </w:rPr>
        <w:t>Demonstrated personal qualities of adaptability, flexibility, and the capacity to work productively in an environment that is subject to pressure, ambiguity, and change.</w:t>
      </w:r>
    </w:p>
    <w:p w14:paraId="5D13F5A0"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61C2E96B" w14:textId="77777777" w:rsidR="009D6E8A" w:rsidRPr="00190B67" w:rsidRDefault="009D6E8A" w:rsidP="00F87871">
      <w:pPr>
        <w:pStyle w:val="Heading2"/>
        <w:spacing w:line="288" w:lineRule="auto"/>
        <w:jc w:val="both"/>
        <w:rPr>
          <w:color w:val="011947"/>
        </w:rPr>
      </w:pPr>
      <w:r w:rsidRPr="00190B67">
        <w:rPr>
          <w:color w:val="011947"/>
        </w:rPr>
        <w:t>Requirements</w:t>
      </w:r>
    </w:p>
    <w:p w14:paraId="0D81961A"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7F93916"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F6809F5"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lastRenderedPageBreak/>
              <w:t>Essential</w:t>
            </w:r>
          </w:p>
        </w:tc>
        <w:tc>
          <w:tcPr>
            <w:tcW w:w="7763" w:type="dxa"/>
          </w:tcPr>
          <w:p w14:paraId="1552E3C8" w14:textId="77777777" w:rsidR="00D2771F" w:rsidRPr="00B34F12" w:rsidRDefault="00D2771F" w:rsidP="00AE6130">
            <w:pPr>
              <w:numPr>
                <w:ilvl w:val="0"/>
                <w:numId w:val="30"/>
              </w:numPr>
              <w:spacing w:after="120" w:line="288" w:lineRule="auto"/>
              <w:ind w:left="145"/>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bl>
    <w:bookmarkEnd w:id="3"/>
    <w:bookmarkEnd w:id="0"/>
    <w:p w14:paraId="3B332A92"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34F50712" w14:textId="77777777" w:rsidR="007773F9" w:rsidRDefault="007773F9" w:rsidP="00F87871">
      <w:pPr>
        <w:jc w:val="both"/>
        <w:rPr>
          <w:sz w:val="24"/>
          <w:szCs w:val="24"/>
        </w:rPr>
      </w:pPr>
      <w:r>
        <w:rPr>
          <w:noProof/>
        </w:rPr>
        <w:drawing>
          <wp:inline distT="0" distB="0" distL="0" distR="0" wp14:anchorId="0614CA09" wp14:editId="66976FA4">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371D03D3"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6F2877A9"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7E838F91" w14:textId="77777777" w:rsidR="00D2771F" w:rsidRDefault="00D2771F" w:rsidP="00F87871">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827B393"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4620D8A8"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247F18"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42CA24C"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F5B0AB7" w14:textId="77777777" w:rsidR="00D2771F" w:rsidRPr="00B732A4" w:rsidRDefault="00D2771F" w:rsidP="00F87871">
      <w:pPr>
        <w:pStyle w:val="Heading2"/>
        <w:spacing w:line="288" w:lineRule="auto"/>
        <w:jc w:val="both"/>
        <w:rPr>
          <w:color w:val="011947"/>
        </w:rPr>
      </w:pPr>
      <w:r w:rsidRPr="00B732A4">
        <w:rPr>
          <w:color w:val="011947"/>
        </w:rPr>
        <w:lastRenderedPageBreak/>
        <w:t>Commitment to Children and Young People</w:t>
      </w:r>
    </w:p>
    <w:p w14:paraId="32B6BE70" w14:textId="77777777" w:rsidR="007773F9" w:rsidRDefault="00D2771F" w:rsidP="00F87871">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27B48BC2"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54624660"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4BCC1EA" w14:textId="77777777" w:rsidTr="00AE03E2">
        <w:trPr>
          <w:trHeight w:val="70"/>
          <w:tblHeader/>
        </w:trPr>
        <w:tc>
          <w:tcPr>
            <w:tcW w:w="9026" w:type="dxa"/>
          </w:tcPr>
          <w:p w14:paraId="5932B3DB" w14:textId="77777777" w:rsidR="0030202C" w:rsidRDefault="00D2771F" w:rsidP="00F87871">
            <w:pPr>
              <w:tabs>
                <w:tab w:val="left" w:pos="180"/>
              </w:tabs>
              <w:spacing w:before="240" w:after="120" w:line="288" w:lineRule="auto"/>
              <w:jc w:val="both"/>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AE6130">
              <w:rPr>
                <w:rFonts w:cs="Arial"/>
              </w:rPr>
              <w:t xml:space="preserve">Deputy Secretary of People and Culture </w:t>
            </w:r>
            <w:r w:rsidR="00F87871">
              <w:rPr>
                <w:rFonts w:cs="Arial"/>
              </w:rPr>
              <w:t>–</w:t>
            </w:r>
            <w:r w:rsidRPr="00D720EC">
              <w:rPr>
                <w:rFonts w:cs="Arial"/>
              </w:rPr>
              <w:t xml:space="preserve"> </w:t>
            </w:r>
            <w:r w:rsidR="00AE6130">
              <w:rPr>
                <w:rFonts w:cs="Arial"/>
              </w:rPr>
              <w:t>02/26</w:t>
            </w:r>
            <w:r>
              <w:rPr>
                <w:rFonts w:cs="Arial"/>
              </w:rPr>
              <w:t xml:space="preserve"> </w:t>
            </w:r>
          </w:p>
          <w:p w14:paraId="092AB061" w14:textId="6A1D707B" w:rsidR="00F87871" w:rsidRDefault="00D2771F" w:rsidP="00F87871">
            <w:pPr>
              <w:tabs>
                <w:tab w:val="left" w:pos="180"/>
              </w:tabs>
              <w:spacing w:after="120" w:line="288" w:lineRule="auto"/>
              <w:jc w:val="both"/>
              <w:rPr>
                <w:rFonts w:cs="Arial"/>
              </w:rPr>
            </w:pPr>
            <w:r w:rsidRPr="00D720EC">
              <w:rPr>
                <w:rFonts w:cs="Arial"/>
              </w:rPr>
              <w:t xml:space="preserve">Request: </w:t>
            </w:r>
            <w:r w:rsidR="00712159">
              <w:rPr>
                <w:rFonts w:cs="Arial"/>
              </w:rPr>
              <w:t>7042504</w:t>
            </w:r>
          </w:p>
          <w:p w14:paraId="45BD2838" w14:textId="77777777" w:rsidR="00D2771F" w:rsidRPr="00E15432" w:rsidRDefault="00D2771F" w:rsidP="00F87871">
            <w:pPr>
              <w:tabs>
                <w:tab w:val="left" w:pos="180"/>
              </w:tabs>
              <w:spacing w:after="120" w:line="288" w:lineRule="auto"/>
              <w:jc w:val="both"/>
              <w:rPr>
                <w:rFonts w:cs="Arial"/>
              </w:rPr>
            </w:pPr>
            <w:r w:rsidRPr="00D720EC">
              <w:rPr>
                <w:rFonts w:cs="Arial"/>
              </w:rPr>
              <w:t xml:space="preserve">Date Duties and Selection Criteria Last Reviewed: </w:t>
            </w:r>
            <w:r w:rsidR="00AE6130">
              <w:rPr>
                <w:rFonts w:cs="Arial"/>
              </w:rPr>
              <w:t>02/26 DN</w:t>
            </w:r>
          </w:p>
        </w:tc>
      </w:tr>
      <w:bookmarkEnd w:id="4"/>
    </w:tbl>
    <w:p w14:paraId="5867F21E" w14:textId="77777777" w:rsidR="00BF7FC7" w:rsidRPr="00BF7FC7" w:rsidRDefault="00BF7FC7" w:rsidP="00F87871">
      <w:pPr>
        <w:tabs>
          <w:tab w:val="left" w:pos="3826"/>
        </w:tabs>
        <w:jc w:val="both"/>
      </w:pPr>
    </w:p>
    <w:sectPr w:rsidR="00BF7FC7" w:rsidRPr="00BF7FC7" w:rsidSect="00A26A93">
      <w:footerReference w:type="default" r:id="rId16"/>
      <w:headerReference w:type="first" r:id="rId17"/>
      <w:footerReference w:type="first" r:id="rId18"/>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2B85" w14:textId="77777777" w:rsidR="00D97223" w:rsidRDefault="00D97223" w:rsidP="0021185D">
      <w:pPr>
        <w:spacing w:after="0" w:line="240" w:lineRule="auto"/>
      </w:pPr>
      <w:r>
        <w:separator/>
      </w:r>
    </w:p>
    <w:p w14:paraId="6FA699F4" w14:textId="77777777" w:rsidR="00D97223" w:rsidRDefault="00D97223"/>
  </w:endnote>
  <w:endnote w:type="continuationSeparator" w:id="0">
    <w:p w14:paraId="26FB6519" w14:textId="77777777" w:rsidR="00D97223" w:rsidRDefault="00D97223" w:rsidP="0021185D">
      <w:pPr>
        <w:spacing w:after="0" w:line="240" w:lineRule="auto"/>
      </w:pPr>
      <w:r>
        <w:continuationSeparator/>
      </w:r>
    </w:p>
    <w:p w14:paraId="1562329F" w14:textId="77777777" w:rsidR="00D97223" w:rsidRDefault="00D97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2F2C"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06A79E4E"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99B9"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4EFF7C8D" wp14:editId="3A59F9CD">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E2B5" w14:textId="77777777" w:rsidR="00D97223" w:rsidRDefault="00D97223" w:rsidP="0021185D">
      <w:pPr>
        <w:spacing w:after="0" w:line="240" w:lineRule="auto"/>
      </w:pPr>
      <w:r>
        <w:separator/>
      </w:r>
    </w:p>
    <w:p w14:paraId="3CCC0AC0" w14:textId="77777777" w:rsidR="00D97223" w:rsidRDefault="00D97223"/>
  </w:footnote>
  <w:footnote w:type="continuationSeparator" w:id="0">
    <w:p w14:paraId="7E7A581E" w14:textId="77777777" w:rsidR="00D97223" w:rsidRDefault="00D97223" w:rsidP="0021185D">
      <w:pPr>
        <w:spacing w:after="0" w:line="240" w:lineRule="auto"/>
      </w:pPr>
      <w:r>
        <w:continuationSeparator/>
      </w:r>
    </w:p>
    <w:p w14:paraId="369365B8" w14:textId="77777777" w:rsidR="00D97223" w:rsidRDefault="00D97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203C" w14:textId="77777777" w:rsidR="007773F9" w:rsidRDefault="007773F9" w:rsidP="00A26A93">
    <w:pPr>
      <w:pStyle w:val="IntroParagraph"/>
      <w:spacing w:before="0" w:after="0"/>
      <w:rPr>
        <w:noProof/>
      </w:rPr>
    </w:pPr>
  </w:p>
  <w:p w14:paraId="04C19A8E" w14:textId="77777777" w:rsidR="007773F9" w:rsidRDefault="007773F9" w:rsidP="00A26A93">
    <w:pPr>
      <w:pStyle w:val="IntroParagraph"/>
      <w:spacing w:before="0" w:after="0"/>
      <w:rPr>
        <w:noProof/>
      </w:rPr>
    </w:pPr>
  </w:p>
  <w:p w14:paraId="1252FDA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00C310F3" wp14:editId="566DD7D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D893E8"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587C75"/>
    <w:multiLevelType w:val="multilevel"/>
    <w:tmpl w:val="EB084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5"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7"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177E5E"/>
    <w:multiLevelType w:val="multilevel"/>
    <w:tmpl w:val="4F781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0"/>
  </w:num>
  <w:num w:numId="3" w16cid:durableId="454718066">
    <w:abstractNumId w:val="22"/>
  </w:num>
  <w:num w:numId="4" w16cid:durableId="20790063">
    <w:abstractNumId w:val="8"/>
  </w:num>
  <w:num w:numId="5" w16cid:durableId="1314144844">
    <w:abstractNumId w:val="13"/>
  </w:num>
  <w:num w:numId="6" w16cid:durableId="1346397344">
    <w:abstractNumId w:val="15"/>
  </w:num>
  <w:num w:numId="7" w16cid:durableId="292291676">
    <w:abstractNumId w:val="36"/>
  </w:num>
  <w:num w:numId="8" w16cid:durableId="2030371840">
    <w:abstractNumId w:val="7"/>
  </w:num>
  <w:num w:numId="9" w16cid:durableId="858272417">
    <w:abstractNumId w:val="1"/>
  </w:num>
  <w:num w:numId="10" w16cid:durableId="69281409">
    <w:abstractNumId w:val="3"/>
  </w:num>
  <w:num w:numId="11" w16cid:durableId="1379667581">
    <w:abstractNumId w:val="11"/>
  </w:num>
  <w:num w:numId="12" w16cid:durableId="680619599">
    <w:abstractNumId w:val="19"/>
  </w:num>
  <w:num w:numId="13" w16cid:durableId="2100369805">
    <w:abstractNumId w:val="27"/>
  </w:num>
  <w:num w:numId="14" w16cid:durableId="1671323240">
    <w:abstractNumId w:val="5"/>
  </w:num>
  <w:num w:numId="15" w16cid:durableId="1858543762">
    <w:abstractNumId w:val="16"/>
  </w:num>
  <w:num w:numId="16" w16cid:durableId="57754739">
    <w:abstractNumId w:val="21"/>
  </w:num>
  <w:num w:numId="17" w16cid:durableId="223832047">
    <w:abstractNumId w:val="6"/>
  </w:num>
  <w:num w:numId="18" w16cid:durableId="1729499897">
    <w:abstractNumId w:val="39"/>
  </w:num>
  <w:num w:numId="19" w16cid:durableId="2132505946">
    <w:abstractNumId w:val="24"/>
  </w:num>
  <w:num w:numId="20" w16cid:durableId="1541359452">
    <w:abstractNumId w:val="26"/>
  </w:num>
  <w:num w:numId="21" w16cid:durableId="434911651">
    <w:abstractNumId w:val="29"/>
  </w:num>
  <w:num w:numId="22" w16cid:durableId="1089351798">
    <w:abstractNumId w:val="35"/>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10"/>
  </w:num>
  <w:num w:numId="33" w16cid:durableId="457382409">
    <w:abstractNumId w:val="9"/>
  </w:num>
  <w:num w:numId="34" w16cid:durableId="972101933">
    <w:abstractNumId w:val="4"/>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8857952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631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23"/>
    <w:rsid w:val="0003097B"/>
    <w:rsid w:val="0003637C"/>
    <w:rsid w:val="00043BD2"/>
    <w:rsid w:val="00054DAF"/>
    <w:rsid w:val="00060B8A"/>
    <w:rsid w:val="00075F1C"/>
    <w:rsid w:val="00083CA6"/>
    <w:rsid w:val="00083EED"/>
    <w:rsid w:val="000A6D2A"/>
    <w:rsid w:val="000B12D1"/>
    <w:rsid w:val="000E161A"/>
    <w:rsid w:val="000E48FA"/>
    <w:rsid w:val="000F06F3"/>
    <w:rsid w:val="000F44F6"/>
    <w:rsid w:val="00117D4C"/>
    <w:rsid w:val="00122036"/>
    <w:rsid w:val="001305A1"/>
    <w:rsid w:val="00133A95"/>
    <w:rsid w:val="00145063"/>
    <w:rsid w:val="00145408"/>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77DB2"/>
    <w:rsid w:val="00394B1B"/>
    <w:rsid w:val="00395538"/>
    <w:rsid w:val="003A1D10"/>
    <w:rsid w:val="003A536B"/>
    <w:rsid w:val="003A66C0"/>
    <w:rsid w:val="003B4B23"/>
    <w:rsid w:val="003D675E"/>
    <w:rsid w:val="0040727E"/>
    <w:rsid w:val="0042558A"/>
    <w:rsid w:val="0042594C"/>
    <w:rsid w:val="00430343"/>
    <w:rsid w:val="004561FC"/>
    <w:rsid w:val="004609BB"/>
    <w:rsid w:val="004A0709"/>
    <w:rsid w:val="004C277B"/>
    <w:rsid w:val="004C4F86"/>
    <w:rsid w:val="004D1FC2"/>
    <w:rsid w:val="004D2F28"/>
    <w:rsid w:val="004D7A71"/>
    <w:rsid w:val="005066D4"/>
    <w:rsid w:val="00515EB4"/>
    <w:rsid w:val="00541E00"/>
    <w:rsid w:val="00545C6D"/>
    <w:rsid w:val="00546B9E"/>
    <w:rsid w:val="00553139"/>
    <w:rsid w:val="00571853"/>
    <w:rsid w:val="0057794A"/>
    <w:rsid w:val="005809C1"/>
    <w:rsid w:val="005816FC"/>
    <w:rsid w:val="005836DC"/>
    <w:rsid w:val="0058395F"/>
    <w:rsid w:val="00585028"/>
    <w:rsid w:val="005A63D5"/>
    <w:rsid w:val="005C26ED"/>
    <w:rsid w:val="005E5F72"/>
    <w:rsid w:val="005F0AB1"/>
    <w:rsid w:val="00611319"/>
    <w:rsid w:val="00611AD3"/>
    <w:rsid w:val="00620233"/>
    <w:rsid w:val="006458C0"/>
    <w:rsid w:val="00680938"/>
    <w:rsid w:val="00697DE2"/>
    <w:rsid w:val="006A1978"/>
    <w:rsid w:val="006A5735"/>
    <w:rsid w:val="006C2F21"/>
    <w:rsid w:val="006D4872"/>
    <w:rsid w:val="006D7008"/>
    <w:rsid w:val="006D7169"/>
    <w:rsid w:val="006E7034"/>
    <w:rsid w:val="006F0172"/>
    <w:rsid w:val="00712159"/>
    <w:rsid w:val="00721947"/>
    <w:rsid w:val="007260EA"/>
    <w:rsid w:val="0073162E"/>
    <w:rsid w:val="00736B55"/>
    <w:rsid w:val="0074012F"/>
    <w:rsid w:val="0074212D"/>
    <w:rsid w:val="00772F50"/>
    <w:rsid w:val="0077316E"/>
    <w:rsid w:val="00773550"/>
    <w:rsid w:val="007773F9"/>
    <w:rsid w:val="00792193"/>
    <w:rsid w:val="007A6C0F"/>
    <w:rsid w:val="007B624D"/>
    <w:rsid w:val="007B689E"/>
    <w:rsid w:val="007B7B9D"/>
    <w:rsid w:val="007C64D9"/>
    <w:rsid w:val="007D126B"/>
    <w:rsid w:val="0082660F"/>
    <w:rsid w:val="00832C37"/>
    <w:rsid w:val="00833B00"/>
    <w:rsid w:val="00835463"/>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67289"/>
    <w:rsid w:val="00980A86"/>
    <w:rsid w:val="00980B47"/>
    <w:rsid w:val="00984C70"/>
    <w:rsid w:val="009A7920"/>
    <w:rsid w:val="009B3B5A"/>
    <w:rsid w:val="009B48A8"/>
    <w:rsid w:val="009C08F6"/>
    <w:rsid w:val="009D0306"/>
    <w:rsid w:val="009D6E8A"/>
    <w:rsid w:val="009D77A5"/>
    <w:rsid w:val="009F275A"/>
    <w:rsid w:val="009F56AC"/>
    <w:rsid w:val="00A1632A"/>
    <w:rsid w:val="00A233DC"/>
    <w:rsid w:val="00A26A93"/>
    <w:rsid w:val="00A31064"/>
    <w:rsid w:val="00A65B91"/>
    <w:rsid w:val="00A67A6E"/>
    <w:rsid w:val="00A81B75"/>
    <w:rsid w:val="00A85286"/>
    <w:rsid w:val="00A90FD6"/>
    <w:rsid w:val="00AC1750"/>
    <w:rsid w:val="00AD47C0"/>
    <w:rsid w:val="00AE04F2"/>
    <w:rsid w:val="00AE1B13"/>
    <w:rsid w:val="00AE2074"/>
    <w:rsid w:val="00AE6130"/>
    <w:rsid w:val="00B02B5C"/>
    <w:rsid w:val="00B070F8"/>
    <w:rsid w:val="00B2387C"/>
    <w:rsid w:val="00B26E57"/>
    <w:rsid w:val="00B34F12"/>
    <w:rsid w:val="00B35976"/>
    <w:rsid w:val="00B419A8"/>
    <w:rsid w:val="00B5117E"/>
    <w:rsid w:val="00B526DE"/>
    <w:rsid w:val="00B620D5"/>
    <w:rsid w:val="00B66506"/>
    <w:rsid w:val="00B66AB7"/>
    <w:rsid w:val="00B741A8"/>
    <w:rsid w:val="00B74AF3"/>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97223"/>
    <w:rsid w:val="00DB369F"/>
    <w:rsid w:val="00DC4D4C"/>
    <w:rsid w:val="00DD7B0A"/>
    <w:rsid w:val="00DE5CC9"/>
    <w:rsid w:val="00E069E9"/>
    <w:rsid w:val="00E14C45"/>
    <w:rsid w:val="00E15432"/>
    <w:rsid w:val="00E25C7B"/>
    <w:rsid w:val="00E3103F"/>
    <w:rsid w:val="00E36F56"/>
    <w:rsid w:val="00E441F1"/>
    <w:rsid w:val="00E50FF8"/>
    <w:rsid w:val="00E61456"/>
    <w:rsid w:val="00E65B35"/>
    <w:rsid w:val="00E7126F"/>
    <w:rsid w:val="00E8310E"/>
    <w:rsid w:val="00E8482A"/>
    <w:rsid w:val="00E92BDF"/>
    <w:rsid w:val="00E9525A"/>
    <w:rsid w:val="00EA368E"/>
    <w:rsid w:val="00EB0331"/>
    <w:rsid w:val="00EC7BED"/>
    <w:rsid w:val="00EE2CB4"/>
    <w:rsid w:val="00EF0022"/>
    <w:rsid w:val="00F000B3"/>
    <w:rsid w:val="00F00402"/>
    <w:rsid w:val="00F00603"/>
    <w:rsid w:val="00F00C5A"/>
    <w:rsid w:val="00F25D12"/>
    <w:rsid w:val="00F32565"/>
    <w:rsid w:val="00F45B2A"/>
    <w:rsid w:val="00F52F3C"/>
    <w:rsid w:val="00F87871"/>
    <w:rsid w:val="00F87EB5"/>
    <w:rsid w:val="00FA4301"/>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69A86"/>
  <w15:chartTrackingRefBased/>
  <w15:docId w15:val="{5C6DBE41-966F-456B-9C9E-87BE33AF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asc.tas.gov.au/about/govern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ac.tas.gov.au/divisions/ssm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OneDrive%20-%20Department%20for%20Education,%20Children%20and%20Young%20People\Desktop\WIP\Senior%20Systems%20Officer%20-%20TASC%20-%20B6%20-%20P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3EF5B2AD1344E5B64950120EAA0FA3"/>
        <w:category>
          <w:name w:val="General"/>
          <w:gallery w:val="placeholder"/>
        </w:category>
        <w:types>
          <w:type w:val="bbPlcHdr"/>
        </w:types>
        <w:behaviors>
          <w:behavior w:val="content"/>
        </w:behaviors>
        <w:guid w:val="{F93AB844-DD36-4B3C-AB24-76920C6DAAE8}"/>
      </w:docPartPr>
      <w:docPartBody>
        <w:p w:rsidR="00AE4F53" w:rsidRDefault="00AE4F53">
          <w:pPr>
            <w:pStyle w:val="723EF5B2AD1344E5B64950120EAA0FA3"/>
          </w:pPr>
          <w:r w:rsidRPr="00370966">
            <w:rPr>
              <w:rStyle w:val="PlaceholderText"/>
            </w:rPr>
            <w:t>[Title]</w:t>
          </w:r>
        </w:p>
      </w:docPartBody>
    </w:docPart>
    <w:docPart>
      <w:docPartPr>
        <w:name w:val="2E55F0076FE8496EA965F74B2E11FFCC"/>
        <w:category>
          <w:name w:val="General"/>
          <w:gallery w:val="placeholder"/>
        </w:category>
        <w:types>
          <w:type w:val="bbPlcHdr"/>
        </w:types>
        <w:behaviors>
          <w:behavior w:val="content"/>
        </w:behaviors>
        <w:guid w:val="{D1FE190D-7569-48A0-A7FE-2CC5DC275C37}"/>
      </w:docPartPr>
      <w:docPartBody>
        <w:p w:rsidR="00AE4F53" w:rsidRDefault="00AE4F53">
          <w:pPr>
            <w:pStyle w:val="2E55F0076FE8496EA965F74B2E11FFCC"/>
          </w:pPr>
          <w:r w:rsidRPr="004D2F28">
            <w:rPr>
              <w:rStyle w:val="PlaceholderText"/>
              <w:color w:val="000000" w:themeColor="text1"/>
            </w:rPr>
            <w:t>Choose an item.</w:t>
          </w:r>
        </w:p>
      </w:docPartBody>
    </w:docPart>
    <w:docPart>
      <w:docPartPr>
        <w:name w:val="5AF6BD1C2DFB476A8EC2EE92B5B3D567"/>
        <w:category>
          <w:name w:val="General"/>
          <w:gallery w:val="placeholder"/>
        </w:category>
        <w:types>
          <w:type w:val="bbPlcHdr"/>
        </w:types>
        <w:behaviors>
          <w:behavior w:val="content"/>
        </w:behaviors>
        <w:guid w:val="{7FBA94E3-9687-4FF9-85BE-572021919DFE}"/>
      </w:docPartPr>
      <w:docPartBody>
        <w:p w:rsidR="00AE4F53" w:rsidRDefault="00AE4F53">
          <w:pPr>
            <w:pStyle w:val="5AF6BD1C2DFB476A8EC2EE92B5B3D567"/>
          </w:pPr>
          <w:r w:rsidRPr="00BF7FC7">
            <w:rPr>
              <w:rStyle w:val="PlaceholderText"/>
              <w:color w:val="000000" w:themeColor="text1"/>
            </w:rPr>
            <w:t>Choose an item.</w:t>
          </w:r>
        </w:p>
      </w:docPartBody>
    </w:docPart>
    <w:docPart>
      <w:docPartPr>
        <w:name w:val="0BEDA389054A4E23AE61FCB5923111E2"/>
        <w:category>
          <w:name w:val="General"/>
          <w:gallery w:val="placeholder"/>
        </w:category>
        <w:types>
          <w:type w:val="bbPlcHdr"/>
        </w:types>
        <w:behaviors>
          <w:behavior w:val="content"/>
        </w:behaviors>
        <w:guid w:val="{6AE53935-3B98-4044-871F-B849DBD29ED1}"/>
      </w:docPartPr>
      <w:docPartBody>
        <w:p w:rsidR="00AE4F53" w:rsidRDefault="00AE4F53">
          <w:pPr>
            <w:pStyle w:val="0BEDA389054A4E23AE61FCB5923111E2"/>
          </w:pPr>
          <w:r w:rsidRPr="00727CD6">
            <w:rPr>
              <w:rStyle w:val="PlaceholderText"/>
            </w:rPr>
            <w:t>Choose an item</w:t>
          </w:r>
          <w:r>
            <w:rPr>
              <w:rStyle w:val="PlaceholderText"/>
            </w:rPr>
            <w:t xml:space="preserve"> below</w:t>
          </w:r>
          <w:r w:rsidRPr="00727CD6">
            <w:rPr>
              <w:rStyle w:val="PlaceholderText"/>
            </w:rPr>
            <w:t>.</w:t>
          </w:r>
        </w:p>
      </w:docPartBody>
    </w:docPart>
    <w:docPart>
      <w:docPartPr>
        <w:name w:val="FA9D6B88EC0A4B57AA12D620DA1034D3"/>
        <w:category>
          <w:name w:val="General"/>
          <w:gallery w:val="placeholder"/>
        </w:category>
        <w:types>
          <w:type w:val="bbPlcHdr"/>
        </w:types>
        <w:behaviors>
          <w:behavior w:val="content"/>
        </w:behaviors>
        <w:guid w:val="{81B8996A-D59E-43DA-BD79-42C9E875C732}"/>
      </w:docPartPr>
      <w:docPartBody>
        <w:p w:rsidR="00AE4F53" w:rsidRDefault="00AE4F53">
          <w:pPr>
            <w:pStyle w:val="FA9D6B88EC0A4B57AA12D620DA1034D3"/>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53"/>
    <w:rsid w:val="00377DB2"/>
    <w:rsid w:val="004A0709"/>
    <w:rsid w:val="0077316E"/>
    <w:rsid w:val="00AE4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23EF5B2AD1344E5B64950120EAA0FA3">
    <w:name w:val="723EF5B2AD1344E5B64950120EAA0FA3"/>
  </w:style>
  <w:style w:type="paragraph" w:customStyle="1" w:styleId="2E55F0076FE8496EA965F74B2E11FFCC">
    <w:name w:val="2E55F0076FE8496EA965F74B2E11FFCC"/>
  </w:style>
  <w:style w:type="paragraph" w:customStyle="1" w:styleId="5AF6BD1C2DFB476A8EC2EE92B5B3D567">
    <w:name w:val="5AF6BD1C2DFB476A8EC2EE92B5B3D567"/>
  </w:style>
  <w:style w:type="paragraph" w:customStyle="1" w:styleId="0BEDA389054A4E23AE61FCB5923111E2">
    <w:name w:val="0BEDA389054A4E23AE61FCB5923111E2"/>
  </w:style>
  <w:style w:type="paragraph" w:customStyle="1" w:styleId="FA9D6B88EC0A4B57AA12D620DA1034D3">
    <w:name w:val="FA9D6B88EC0A4B57AA12D620DA103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CYP Templates" ma:contentTypeID="0x010100DDD7DC831A59DF4DB1D1BB20E724F701010B00D57381C0E219074B9B4274FFD03FBAF0" ma:contentTypeVersion="76" ma:contentTypeDescription="Create a new document." ma:contentTypeScope="" ma:versionID="8a4f1592acbe5c00b97dc7ae788beba2">
  <xsd:schema xmlns:xsd="http://www.w3.org/2001/XMLSchema" xmlns:xs="http://www.w3.org/2001/XMLSchema" xmlns:p="http://schemas.microsoft.com/office/2006/metadata/properties" xmlns:ns1="http://schemas.microsoft.com/sharepoint/v3" xmlns:ns2="73e323e8-fcc4-4315-9e8f-db2c55330154" xmlns:ns3="f4d687a3-763f-4c4d-a2c3-3894f6ee9db2" xmlns:ns4="c42b6124-4883-43ad-b9e4-8371c60bf13e" targetNamespace="http://schemas.microsoft.com/office/2006/metadata/properties" ma:root="true" ma:fieldsID="f6d254b83bcab68b644e8be0229f9430" ns1:_="" ns2:_="" ns3:_="" ns4:_="">
    <xsd:import namespace="http://schemas.microsoft.com/sharepoint/v3"/>
    <xsd:import namespace="73e323e8-fcc4-4315-9e8f-db2c55330154"/>
    <xsd:import namespace="f4d687a3-763f-4c4d-a2c3-3894f6ee9db2"/>
    <xsd:import namespace="c42b6124-4883-43ad-b9e4-8371c60bf13e"/>
    <xsd:element name="properties">
      <xsd:complexType>
        <xsd:sequence>
          <xsd:element name="documentManagement">
            <xsd:complexType>
              <xsd:all>
                <xsd:element ref="ns2:Contact_x0020_Person" minOccurs="0"/>
                <xsd:element ref="ns3:Is_x0020_Content_x0020_Accessible" minOccurs="0"/>
                <xsd:element ref="ns3:DECYP_x0020_Branding" minOccurs="0"/>
                <xsd:element ref="ns3:Content_x0020_Type_x0020_Preference" minOccurs="0"/>
                <xsd:element ref="ns2:Valid_x0020_To" minOccurs="0"/>
                <xsd:element ref="ns2:Last_x0020_Content_x0020_Review_x0020_Date" minOccurs="0"/>
                <xsd:element ref="ns3:Archive_x0020_Requirement" minOccurs="0"/>
                <xsd:element ref="ns2:Metadata_x0020_Audit_x0020_Status" minOccurs="0"/>
                <xsd:element ref="ns2:URL_x0020_Referrals" minOccurs="0"/>
                <xsd:element ref="ns3:_dlc_DocIdUrl"/>
                <xsd:element ref="ns3:_dlc_DocIdPersistId" minOccurs="0"/>
                <xsd:element ref="ns1:n0a9e867ad2c485d813f18d125e0fcd9" minOccurs="0"/>
                <xsd:element ref="ns3:_dlc_DocId" minOccurs="0"/>
                <xsd:element ref="ns1:dcb2640943484fe9b8fca50e77597933" minOccurs="0"/>
                <xsd:element ref="ns4:MediaServiceMetadata" minOccurs="0"/>
                <xsd:element ref="ns4:MediaServiceFastMetadata" minOccurs="0"/>
                <xsd:element ref="ns3:pd29a4e1f15d408ea69e8630ec6fc634" minOccurs="0"/>
                <xsd:element ref="ns4:MediaServiceAutoTags" minOccurs="0"/>
                <xsd:element ref="ns4:MediaServiceOCR"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DateTaken" minOccurs="0"/>
                <xsd:element ref="ns3:SharedWithUsers" minOccurs="0"/>
                <xsd:element ref="ns3:SharedWithDetails" minOccurs="0"/>
                <xsd:element ref="ns2:d2ede25913364733ba82b00f154f9896" minOccurs="0"/>
                <xsd:element ref="ns2:TaxKeywordTaxHTField" minOccurs="0"/>
                <xsd:element ref="ns4:MediaServiceObjectDetectorVersions" minOccurs="0"/>
                <xsd:element ref="ns4:MediaServiceSearchProperties" minOccurs="0"/>
                <xsd:element ref="ns1:HP_x0020_Content_x0020_Manager_x0020_ID" minOccurs="0"/>
                <xsd:element ref="ns1:IsDoETemplate" minOccurs="0"/>
                <xsd:element ref="ns1:p3462ae1d1b74acfbca60782bc9e6868" minOccurs="0"/>
                <xsd:element ref="ns1:edfde412c3c944a58e77f303173d3848" minOccurs="0"/>
                <xsd:element ref="ns2:TaxCatchAllLabel" minOccurs="0"/>
                <xsd:element ref="ns2:j61f732d337c4ddd88388d8309749f85" minOccurs="0"/>
                <xsd:element ref="ns3:h1f1a7ebaa9c4b2aa96a60dba828a769" minOccurs="0"/>
                <xsd:element ref="ns3: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0a9e867ad2c485d813f18d125e0fcd9" ma:index="19" nillable="true"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21"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HP_x0020_Content_x0020_Manager_x0020_ID" ma:index="44" nillable="true" ma:displayName="HP Content Manager ID" ma:format="Hyperlink" ma:hidden="true"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DoETemplate" ma:index="46" nillable="true" ma:displayName="IsDoETemplate" ma:default="1" ma:hidden="true" ma:internalName="IsDoETemplate" ma:readOnly="false">
      <xsd:simpleType>
        <xsd:restriction base="dms:Boolean"/>
      </xsd:simpleType>
    </xsd:element>
    <xsd:element name="p3462ae1d1b74acfbca60782bc9e6868" ma:index="47"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dfde412c3c944a58e77f303173d3848" ma:index="48"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Contact_x0020_Person" ma:index="5" nillable="true" ma:displayName="Contact Email" ma:list="UserInfo" ma:internalName="Contact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_x0020_To" ma:index="11" nillable="true" ma:displayName="Expiry Date" ma:description="Enter date of when the content is due to expire IF KNOWN" ma:format="DateOnly" ma:internalName="Valid_x0020_To" ma:readOnly="false">
      <xsd:simpleType>
        <xsd:restriction base="dms:DateTime"/>
      </xsd:simpleType>
    </xsd:element>
    <xsd:element name="Last_x0020_Content_x0020_Review_x0020_Date" ma:index="12" nillable="true" ma:displayName="Last Content Review Date" ma:default="" ma:format="DateOnly" ma:internalName="Last_x0020_Content_x0020_Review_x0020_Date" ma:readOnly="false">
      <xsd:simpleType>
        <xsd:restriction base="dms:DateTime"/>
      </xsd:simpleType>
    </xsd:element>
    <xsd:element name="Metadata_x0020_Audit_x0020_Status" ma:index="14" nillable="true" ma:displayName="Metadata Audit Status" ma:default="Not Started" ma:description="please make a selection from the choices available" ma:format="Dropdown" ma:internalName="Metadata_x0020_Audit_x0020_Status0">
      <xsd:simpleType>
        <xsd:restriction base="dms:Choice">
          <xsd:enumeration value="Completed"/>
          <xsd:enumeration value="In Progress"/>
          <xsd:enumeration value="Not Started"/>
        </xsd:restriction>
      </xsd:simpleType>
    </xsd:element>
    <xsd:element name="URL_x0020_Referrals" ma:index="15" nillable="true" ma:displayName="Notes" ma:internalName="URL_x0020_Referrals0" ma:readOnly="false">
      <xsd:simpleType>
        <xsd:restriction base="dms:Note">
          <xsd:maxLength value="255"/>
        </xsd:restriction>
      </xsd:simpleType>
    </xsd:element>
    <xsd:element name="TaxCatchAll" ma:index="33"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KeywordTaxHTField" ma:index="41"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j61f732d337c4ddd88388d8309749f85" ma:index="52" ma:taxonomy="true" ma:internalName="j61f732d337c4ddd88388d8309749f85" ma:taxonomyFieldName="Portfolio" ma:displayName="Portfolio" ma:readOnly="false" ma:fieldId="{361f732d-337c-4ddd-8838-8d8309749f85}" ma:sspId="85ab561c-b524-457e-b07c-8aed554bb3ce" ma:termSetId="402a09be-8886-4efc-b6ef-aa053bf60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Is_x0020_Content_x0020_Accessible" ma:index="8" nillable="true" ma:displayName="Is Content Accessible" ma:description="https://tasedu.sharepoint.com/sites/DigitalPublishingSelfHelp/SitePages/Checking-Word-Document-for-Accessibility.aspx" ma:format="Dropdown" ma:internalName="Is_x0020_Content_x0020_Accessible" ma:readOnly="false">
      <xsd:simpleType>
        <xsd:restriction base="dms:Choice">
          <xsd:enumeration value="Yes"/>
          <xsd:enumeration value="No"/>
          <xsd:enumeration value="Unsure"/>
        </xsd:restriction>
      </xsd:simpleType>
    </xsd:element>
    <xsd:element name="DECYP_x0020_Branding" ma:index="9"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Content_x0020_Type_x0020_Preference" ma:index="10"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enumeration value="Xlsx"/>
        </xsd:restriction>
      </xsd:simpleType>
    </xsd:element>
    <xsd:element name="Archive_x0020_Requirement" ma:index="13" nillable="true" ma:displayName="Archive Requirement"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_dlc_DocIdUrl" ma:index="16"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_dlc_DocId" ma:index="20" nillable="true" ma:displayName="Document ID Value" ma:description="The value of the document ID assigned to this item." ma:hidden="true" ma:indexed="true" ma:internalName="_dlc_DocId" ma:readOnly="true">
      <xsd:simpleType>
        <xsd:restriction base="dms:Text"/>
      </xsd:simpleType>
    </xsd:element>
    <xsd:element name="pd29a4e1f15d408ea69e8630ec6fc634" ma:index="25"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element name="h1f1a7ebaa9c4b2aa96a60dba828a769" ma:index="53" nillable="true" ma:taxonomy="true" ma:internalName="h1f1a7ebaa9c4b2aa96a60dba828a769" ma:taxonomyFieldName="Sub_x0020_Unit" ma:displayName="Sub Unit" ma:readOnly="false" ma:default="" ma:fieldId="{11f1a7eb-aa9c-4b2a-a96a-60dba828a769}" ma:sspId="85ab561c-b524-457e-b07c-8aed554bb3ce" ma:termSetId="a8cedd03-4e61-47ef-b0e8-11aea0932e44" ma:anchorId="00000000-0000-0000-0000-000000000000" ma:open="false" ma:isKeyword="false">
      <xsd:complexType>
        <xsd:sequence>
          <xsd:element ref="pc:Terms" minOccurs="0" maxOccurs="1"/>
        </xsd:sequence>
      </xsd:complexType>
    </xsd:element>
    <xsd:element name="Version" ma:index="55" nillable="true" ma:displayName="Version" ma:default="" ma:hidden="true" ma:internalNam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b6124-4883-43ad-b9e4-8371c60bf13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e323e8-fcc4-4315-9e8f-db2c55330154">
      <Value>33</Value>
      <Value>69</Value>
      <Value>1548</Value>
      <Value>215</Value>
      <Value>28</Value>
      <Value>4977</Value>
      <Value>9776</Value>
      <Value>3397</Value>
      <Value>2821</Value>
      <Value>9517</Value>
      <Value>5369</Value>
      <Value>4</Value>
      <Value>2038</Value>
      <Value>9770</Value>
    </TaxCatchAll>
    <Is_x0020_Content_x0020_Accessible xmlns="f4d687a3-763f-4c4d-a2c3-3894f6ee9db2">Yes</Is_x0020_Content_x0020_Accessible>
    <Content_x0020_Type_x0020_Preference xmlns="f4d687a3-763f-4c4d-a2c3-3894f6ee9db2">Word</Content_x0020_Type_x0020_Preference>
    <Valid_x0020_To xmlns="73e323e8-fcc4-4315-9e8f-db2c55330154" xsi:nil="true"/>
    <Archive_x0020_Requirement xmlns="f4d687a3-763f-4c4d-a2c3-3894f6ee9db2">No</Archive_x0020_Requirement>
    <TaxKeywordTaxHTField xmlns="73e323e8-fcc4-4315-9e8f-db2c5533015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69a24afe-20fa-4721-bac3-66e5ccecfa32</TermId>
        </TermInfo>
        <TermInfo xmlns="http://schemas.microsoft.com/office/infopath/2007/PartnerControls">
          <TermName xmlns="http://schemas.microsoft.com/office/infopath/2007/PartnerControls">Recruitment</TermName>
          <TermId xmlns="http://schemas.microsoft.com/office/infopath/2007/PartnerControls">871ea328-04b8-4510-b8c0-8a40646cd219</TermId>
        </TermInfo>
        <TermInfo xmlns="http://schemas.microsoft.com/office/infopath/2007/PartnerControls">
          <TermName xmlns="http://schemas.microsoft.com/office/infopath/2007/PartnerControls">Duties</TermName>
          <TermId xmlns="http://schemas.microsoft.com/office/infopath/2007/PartnerControls">3e63e8c4-0149-4e8e-b1e0-e7e193d5410e</TermId>
        </TermInfo>
        <TermInfo xmlns="http://schemas.microsoft.com/office/infopath/2007/PartnerControls">
          <TermName xmlns="http://schemas.microsoft.com/office/infopath/2007/PartnerControls">HR</TermName>
          <TermId xmlns="http://schemas.microsoft.com/office/infopath/2007/PartnerControls">ce8a6860-aeb9-4708-8bcd-45e6411f29f1</TermId>
        </TermInfo>
        <TermInfo xmlns="http://schemas.microsoft.com/office/infopath/2007/PartnerControls">
          <TermName xmlns="http://schemas.microsoft.com/office/infopath/2007/PartnerControls">SOD</TermName>
          <TermId xmlns="http://schemas.microsoft.com/office/infopath/2007/PartnerControls">649a35d6-ef71-490d-bf71-c2ece9c082c0</TermId>
        </TermInfo>
        <TermInfo xmlns="http://schemas.microsoft.com/office/infopath/2007/PartnerControls">
          <TermName xmlns="http://schemas.microsoft.com/office/infopath/2007/PartnerControls">statement</TermName>
          <TermId xmlns="http://schemas.microsoft.com/office/infopath/2007/PartnerControls">d1d32147-41b0-4adf-81ab-1e9d34fd5d50</TermId>
        </TermInfo>
      </Terms>
    </TaxKeywordTaxHTField>
    <DECYP_x0020_Branding xmlns="f4d687a3-763f-4c4d-a2c3-3894f6ee9db2">DECYP colourful branding</DECYP_x0020_Branding>
    <j61f732d337c4ddd88388d8309749f85 xmlns="73e323e8-fcc4-4315-9e8f-db2c5533015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98f34d15-e0d1-4165-bfd7-31ede476ea4f</TermId>
        </TermInfo>
      </Terms>
    </j61f732d337c4ddd88388d8309749f85>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Recruitment, Payroll, People Systems and Data</TermName>
          <TermId xmlns="http://schemas.microsoft.com/office/infopath/2007/PartnerControls">17bbda43-a02a-495b-a137-f1a732e6f3ce</TermId>
        </TermInfo>
      </Terms>
    </d2ede25913364733ba82b00f154f9896>
    <_dlc_DocIdPersistId xmlns="f4d687a3-763f-4c4d-a2c3-3894f6ee9db2" xsi:nil="true"/>
    <h1f1a7ebaa9c4b2aa96a60dba828a769 xmlns="f4d687a3-763f-4c4d-a2c3-3894f6ee9db2">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31aac6b6-4102-4586-be15-9290cec0932a</TermId>
        </TermInfo>
      </Terms>
    </h1f1a7ebaa9c4b2aa96a60dba828a769>
    <Metadata_x0020_Audit_x0020_Status xmlns="73e323e8-fcc4-4315-9e8f-db2c55330154">Completed</Metadata_x0020_Audit_x0020_Status>
    <IsDoETemplate xmlns="http://schemas.microsoft.com/sharepoint/v3">true</IsDoETemplate>
    <Last_x0020_Content_x0020_Review_x0020_Date xmlns="73e323e8-fcc4-4315-9e8f-db2c55330154">2025-09-18T14:00:00+00:00</Last_x0020_Content_x0020_Review_x0020_Date>
    <URL_x0020_Referrals xmlns="73e323e8-fcc4-4315-9e8f-db2c55330154" xsi:nil="true"/>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pd29a4e1f15d408ea69e8630ec6fc634 xmlns="f4d687a3-763f-4c4d-a2c3-3894f6ee9db2">
      <Terms xmlns="http://schemas.microsoft.com/office/infopath/2007/PartnerControls">
        <TermInfo xmlns="http://schemas.microsoft.com/office/infopath/2007/PartnerControls">
          <TermName xmlns="http://schemas.microsoft.com/office/infopath/2007/PartnerControls">DoE Design Style Guide</TermName>
          <TermId xmlns="http://schemas.microsoft.com/office/infopath/2007/PartnerControls">14cffd82-d560-4797-b51c-5d96ba2b0829</TermId>
        </TermInfo>
      </Terms>
    </pd29a4e1f15d408ea69e8630ec6fc634>
    <Version xmlns="f4d687a3-763f-4c4d-a2c3-3894f6ee9db2" xsi:nil="true"/>
    <Contact_x0020_Person xmlns="73e323e8-fcc4-4315-9e8f-db2c55330154">
      <UserInfo>
        <DisplayName>HR Recruitment</DisplayName>
        <AccountId>14208</AccountId>
        <AccountType/>
      </UserInfo>
    </Contact_x0020_Person>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HP_x0020_Content_x0020_Manager_x0020_ID xmlns="http://schemas.microsoft.com/sharepoint/v3">
      <Url xsi:nil="true"/>
      <Description xsi:nil="true"/>
    </HP_x0020_Content_x0020_Manager_x0020_ID>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_dlc_DocId xmlns="f4d687a3-763f-4c4d-a2c3-3894f6ee9db2">TASED-408985228-1720</_dlc_DocId>
    <_dlc_DocIdUrl xmlns="f4d687a3-763f-4c4d-a2c3-3894f6ee9db2">
      <Url>https://tasedu.sharepoint.com/sites/intranet/_layouts/15/DocIdRedir.aspx?ID=TASED-408985228-1720</Url>
      <Description>TASED-408985228-1720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548C2AA6-8782-4066-9418-59F4B7C5B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c42b6124-4883-43ad-b9e4-8371c60b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73e323e8-fcc4-4315-9e8f-db2c55330154"/>
    <ds:schemaRef ds:uri="f4d687a3-763f-4c4d-a2c3-3894f6ee9db2"/>
    <ds:schemaRef ds:uri="http://schemas.microsoft.com/sharepoint/v3"/>
  </ds:schemaRefs>
</ds:datastoreItem>
</file>

<file path=customXml/itemProps5.xml><?xml version="1.0" encoding="utf-8"?>
<ds:datastoreItem xmlns:ds="http://schemas.openxmlformats.org/officeDocument/2006/customXml" ds:itemID="{DF03EDAF-F1B0-4710-BB70-361CBE105F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Senior Systems Officer - TASC - B6 - PN</Template>
  <TotalTime>1</TotalTime>
  <Pages>5</Pages>
  <Words>1371</Words>
  <Characters>8299</Characters>
  <Application>Microsoft Office Word</Application>
  <DocSecurity>0</DocSecurity>
  <Lines>156</Lines>
  <Paragraphs>68</Paragraphs>
  <ScaleCrop>false</ScaleCrop>
  <HeadingPairs>
    <vt:vector size="2" baseType="variant">
      <vt:variant>
        <vt:lpstr>Title</vt:lpstr>
      </vt:variant>
      <vt:variant>
        <vt:i4>1</vt:i4>
      </vt:variant>
    </vt:vector>
  </HeadingPairs>
  <TitlesOfParts>
    <vt:vector size="1" baseType="lpstr">
      <vt:lpstr>Statement of Duties Template</vt:lpstr>
    </vt:vector>
  </TitlesOfParts>
  <Manager/>
  <Company>Tasmanian Government - Department for Education, Children and Young People</Company>
  <LinksUpToDate>false</LinksUpToDate>
  <CharactersWithSpaces>9620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Systems Officer</dc:title>
  <dc:subject/>
  <dc:creator>Newton, Daniel</dc:creator>
  <cp:keywords>SOD; HR; Duties; statement; Recruitment; template</cp:keywords>
  <dc:description/>
  <cp:lastModifiedBy>Bromfield, Hayley</cp:lastModifiedBy>
  <cp:revision>4</cp:revision>
  <cp:lastPrinted>2023-08-01T07:12:00Z</cp:lastPrinted>
  <dcterms:created xsi:type="dcterms:W3CDTF">2026-02-03T21:32:00Z</dcterms:created>
  <dcterms:modified xsi:type="dcterms:W3CDTF">2026-02-25T02:59:00Z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33;#template|69a24afe-20fa-4721-bac3-66e5ccecfa32;#2038;#Recruitment|871ea328-04b8-4510-b8c0-8a40646cd219;#5369;#Duties|3e63e8c4-0149-4e8e-b1e0-e7e193d5410e;#215;#HR|ce8a6860-aeb9-4708-8bcd-45e6411f29f1;#3397;#SOD|649a35d6-ef71-490d-bf71-c2ece9c082c0;#1548;#statement|d1d32147-41b0-4adf-81ab-1e9d34fd5d50</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0x010100DDD7DC831A59DF4DB1D1BB20E724F701010B00D57381C0E219074B9B4274FFD03FBAF0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y fmtid="{D5CDD505-2E9C-101B-9397-08002B2CF9AE}" pid="46" name="_ApprovalStatus">
    <vt:i4>0</vt:i4>
  </property>
</Properties>
</file>