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C0B7" w14:textId="4F73B0C6" w:rsidR="007E009D" w:rsidRPr="00176F7F" w:rsidRDefault="00A74535" w:rsidP="00176F7F">
      <w:pPr>
        <w:sectPr w:rsidR="007E009D" w:rsidRPr="00176F7F" w:rsidSect="00C45A16">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sz w:val="44"/>
          <w:szCs w:val="44"/>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Content>
        <w:p w14:paraId="02402857" w14:textId="5B616454" w:rsidR="00644F9F" w:rsidRPr="00190B67" w:rsidRDefault="00BE4115" w:rsidP="00644F9F">
          <w:pPr>
            <w:pStyle w:val="Title"/>
            <w:rPr>
              <w:color w:val="011947"/>
            </w:rPr>
          </w:pPr>
          <w:r>
            <w:rPr>
              <w:sz w:val="44"/>
              <w:szCs w:val="44"/>
            </w:rPr>
            <w:t>Administrative Manager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6D1D008" w:rsidR="006F6682" w:rsidRPr="0057614B" w:rsidRDefault="006F15D2"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March 2024</w:t>
            </w:r>
          </w:p>
        </w:tc>
      </w:tr>
      <w:tr w:rsidR="007D64D9"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7D64D9" w:rsidRPr="006F6682" w:rsidRDefault="007D64D9" w:rsidP="007D64D9">
            <w:pPr>
              <w:rPr>
                <w:sz w:val="24"/>
                <w:szCs w:val="24"/>
              </w:rPr>
            </w:pPr>
            <w:r w:rsidRPr="006F6682">
              <w:rPr>
                <w:sz w:val="24"/>
                <w:szCs w:val="24"/>
              </w:rPr>
              <w:t>Number</w:t>
            </w:r>
          </w:p>
        </w:tc>
        <w:tc>
          <w:tcPr>
            <w:tcW w:w="6458" w:type="dxa"/>
            <w:gridSpan w:val="2"/>
            <w:vAlign w:val="top"/>
          </w:tcPr>
          <w:p w14:paraId="40C273E1" w14:textId="44A5F602" w:rsidR="007D64D9" w:rsidRPr="00B103A8" w:rsidRDefault="001265A8" w:rsidP="007D64D9">
            <w:pPr>
              <w:cnfStyle w:val="000000100000" w:firstRow="0" w:lastRow="0" w:firstColumn="0" w:lastColumn="0" w:oddVBand="0" w:evenVBand="0" w:oddHBand="1" w:evenHBand="0" w:firstRowFirstColumn="0" w:firstRowLastColumn="0" w:lastRowFirstColumn="0" w:lastRowLastColumn="0"/>
            </w:pPr>
            <w:r>
              <w:rPr>
                <w:bCs/>
              </w:rPr>
              <w:t>Generic</w:t>
            </w:r>
          </w:p>
        </w:tc>
      </w:tr>
      <w:tr w:rsidR="007D64D9"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7D64D9" w:rsidRPr="006F6682" w:rsidRDefault="007D64D9" w:rsidP="007D64D9">
            <w:pPr>
              <w:rPr>
                <w:b w:val="0"/>
                <w:sz w:val="24"/>
                <w:szCs w:val="24"/>
              </w:rPr>
            </w:pPr>
            <w:r w:rsidRPr="006F6682">
              <w:rPr>
                <w:sz w:val="24"/>
                <w:szCs w:val="24"/>
              </w:rPr>
              <w:t>Portfolio</w:t>
            </w:r>
          </w:p>
        </w:tc>
        <w:tc>
          <w:tcPr>
            <w:tcW w:w="6458" w:type="dxa"/>
            <w:gridSpan w:val="2"/>
            <w:vAlign w:val="top"/>
          </w:tcPr>
          <w:p w14:paraId="6C07E303" w14:textId="1D5F324F" w:rsidR="007D64D9" w:rsidRPr="00BE4115" w:rsidRDefault="001265A8" w:rsidP="007D64D9">
            <w:pPr>
              <w:cnfStyle w:val="000000000000" w:firstRow="0" w:lastRow="0" w:firstColumn="0" w:lastColumn="0" w:oddVBand="0" w:evenVBand="0" w:oddHBand="0" w:evenHBand="0" w:firstRowFirstColumn="0" w:firstRowLastColumn="0" w:lastRowFirstColumn="0" w:lastRowLastColumn="0"/>
            </w:pPr>
            <w:r w:rsidRPr="00BE4115">
              <w:rPr>
                <w:rFonts w:eastAsia="Times New Roman" w:cs="Arial"/>
                <w:bCs/>
                <w:sz w:val="24"/>
                <w:szCs w:val="24"/>
              </w:rPr>
              <w:t>Children and Young People</w:t>
            </w:r>
          </w:p>
        </w:tc>
      </w:tr>
      <w:tr w:rsidR="007D64D9"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7D64D9" w:rsidRPr="006F6682" w:rsidRDefault="007D64D9" w:rsidP="007D64D9">
            <w:pPr>
              <w:rPr>
                <w:b w:val="0"/>
                <w:sz w:val="24"/>
                <w:szCs w:val="24"/>
              </w:rPr>
            </w:pPr>
            <w:r w:rsidRPr="006F6682">
              <w:rPr>
                <w:sz w:val="24"/>
                <w:szCs w:val="24"/>
              </w:rPr>
              <w:t>Branch</w:t>
            </w:r>
          </w:p>
        </w:tc>
        <w:tc>
          <w:tcPr>
            <w:tcW w:w="6458" w:type="dxa"/>
            <w:gridSpan w:val="2"/>
            <w:vAlign w:val="top"/>
          </w:tcPr>
          <w:p w14:paraId="40F61C2C" w14:textId="38DDF318" w:rsidR="007D64D9" w:rsidRPr="00BE4115" w:rsidRDefault="001265A8" w:rsidP="007D64D9">
            <w:pPr>
              <w:cnfStyle w:val="000000100000" w:firstRow="0" w:lastRow="0" w:firstColumn="0" w:lastColumn="0" w:oddVBand="0" w:evenVBand="0" w:oddHBand="1" w:evenHBand="0" w:firstRowFirstColumn="0" w:firstRowLastColumn="0" w:lastRowFirstColumn="0" w:lastRowLastColumn="0"/>
            </w:pPr>
            <w:r w:rsidRPr="00BE4115">
              <w:rPr>
                <w:rFonts w:eastAsia="Times New Roman" w:cs="Arial"/>
                <w:bCs/>
                <w:sz w:val="24"/>
                <w:szCs w:val="24"/>
              </w:rPr>
              <w:t>School Improvement</w:t>
            </w:r>
          </w:p>
        </w:tc>
      </w:tr>
      <w:tr w:rsidR="007D64D9"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7D64D9" w:rsidRPr="006F6682" w:rsidRDefault="007D64D9" w:rsidP="007D64D9">
            <w:pPr>
              <w:rPr>
                <w:sz w:val="24"/>
                <w:szCs w:val="24"/>
              </w:rPr>
            </w:pPr>
            <w:r w:rsidRPr="006F6682">
              <w:rPr>
                <w:sz w:val="24"/>
                <w:szCs w:val="24"/>
              </w:rPr>
              <w:t>Section</w:t>
            </w:r>
          </w:p>
        </w:tc>
        <w:tc>
          <w:tcPr>
            <w:tcW w:w="6458" w:type="dxa"/>
            <w:gridSpan w:val="2"/>
            <w:vAlign w:val="top"/>
          </w:tcPr>
          <w:p w14:paraId="561EA7C6" w14:textId="35D5BBED" w:rsidR="007D64D9" w:rsidRPr="00B103A8" w:rsidRDefault="00BE4115" w:rsidP="007D64D9">
            <w:pPr>
              <w:cnfStyle w:val="000000000000" w:firstRow="0" w:lastRow="0" w:firstColumn="0" w:lastColumn="0" w:oddVBand="0" w:evenVBand="0" w:oddHBand="0" w:evenHBand="0" w:firstRowFirstColumn="0" w:firstRowLastColumn="0" w:lastRowFirstColumn="0" w:lastRowLastColumn="0"/>
            </w:pPr>
            <w:r w:rsidRPr="00741493">
              <w:rPr>
                <w:rFonts w:eastAsia="Times New Roman" w:cs="Arial"/>
                <w:bCs/>
                <w:sz w:val="24"/>
                <w:szCs w:val="24"/>
              </w:rPr>
              <w:t>Specified School or College</w:t>
            </w:r>
          </w:p>
        </w:tc>
      </w:tr>
      <w:tr w:rsidR="007D64D9"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7D64D9" w:rsidRPr="006F6682" w:rsidRDefault="007D64D9" w:rsidP="007D64D9">
            <w:pPr>
              <w:rPr>
                <w:sz w:val="24"/>
                <w:szCs w:val="24"/>
              </w:rPr>
            </w:pPr>
            <w:r w:rsidRPr="006F6682">
              <w:rPr>
                <w:sz w:val="24"/>
                <w:szCs w:val="24"/>
              </w:rPr>
              <w:t>Sub-Section/Unit/School</w:t>
            </w:r>
          </w:p>
        </w:tc>
        <w:tc>
          <w:tcPr>
            <w:tcW w:w="6458" w:type="dxa"/>
            <w:gridSpan w:val="2"/>
            <w:vAlign w:val="top"/>
          </w:tcPr>
          <w:p w14:paraId="0AF51446" w14:textId="1FC2FEAD" w:rsidR="007D64D9" w:rsidRPr="00B103A8" w:rsidRDefault="007D64D9" w:rsidP="007D64D9">
            <w:pPr>
              <w:cnfStyle w:val="000000100000" w:firstRow="0" w:lastRow="0" w:firstColumn="0" w:lastColumn="0" w:oddVBand="0" w:evenVBand="0" w:oddHBand="1" w:evenHBand="0" w:firstRowFirstColumn="0" w:firstRowLastColumn="0" w:lastRowFirstColumn="0" w:lastRowLastColumn="0"/>
            </w:pPr>
          </w:p>
        </w:tc>
      </w:tr>
      <w:tr w:rsidR="00232460"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232460" w:rsidRPr="006F6682" w:rsidRDefault="00232460" w:rsidP="00232460">
            <w:pPr>
              <w:rPr>
                <w:sz w:val="24"/>
                <w:szCs w:val="24"/>
              </w:rPr>
            </w:pPr>
            <w:r w:rsidRPr="006F6682">
              <w:rPr>
                <w:sz w:val="24"/>
                <w:szCs w:val="24"/>
              </w:rPr>
              <w:t>Supervisor</w:t>
            </w:r>
          </w:p>
        </w:tc>
        <w:tc>
          <w:tcPr>
            <w:tcW w:w="6458" w:type="dxa"/>
            <w:gridSpan w:val="2"/>
            <w:vAlign w:val="top"/>
          </w:tcPr>
          <w:p w14:paraId="2F473510" w14:textId="30F80B1D" w:rsidR="00232460" w:rsidRPr="00B103A8" w:rsidRDefault="00BE4115" w:rsidP="00232460">
            <w:pPr>
              <w:cnfStyle w:val="000000000000" w:firstRow="0" w:lastRow="0" w:firstColumn="0" w:lastColumn="0" w:oddVBand="0" w:evenVBand="0" w:oddHBand="0" w:evenHBand="0" w:firstRowFirstColumn="0" w:firstRowLastColumn="0" w:lastRowFirstColumn="0" w:lastRowLastColumn="0"/>
            </w:pPr>
            <w:r w:rsidRPr="00741493">
              <w:rPr>
                <w:rFonts w:eastAsia="Times New Roman" w:cs="Arial"/>
                <w:bCs/>
                <w:sz w:val="24"/>
                <w:szCs w:val="24"/>
              </w:rPr>
              <w:t>Principal</w:t>
            </w:r>
          </w:p>
        </w:tc>
      </w:tr>
      <w:tr w:rsidR="005F3B0F"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5F3B0F" w:rsidRPr="006F6682" w:rsidRDefault="005F3B0F" w:rsidP="005F3B0F">
            <w:pPr>
              <w:rPr>
                <w:sz w:val="24"/>
                <w:szCs w:val="24"/>
              </w:rPr>
            </w:pPr>
            <w:r w:rsidRPr="006F6682">
              <w:rPr>
                <w:sz w:val="24"/>
                <w:szCs w:val="24"/>
              </w:rPr>
              <w:t>Award/Agreement</w:t>
            </w:r>
          </w:p>
        </w:tc>
        <w:tc>
          <w:tcPr>
            <w:tcW w:w="6458" w:type="dxa"/>
            <w:gridSpan w:val="2"/>
            <w:vAlign w:val="top"/>
          </w:tcPr>
          <w:p w14:paraId="3E694C01" w14:textId="75A9E804" w:rsidR="005F3B0F" w:rsidRPr="00B103A8" w:rsidRDefault="00BE4115" w:rsidP="005F3B0F">
            <w:pPr>
              <w:cnfStyle w:val="000000100000" w:firstRow="0" w:lastRow="0" w:firstColumn="0" w:lastColumn="0" w:oddVBand="0" w:evenVBand="0" w:oddHBand="1" w:evenHBand="0" w:firstRowFirstColumn="0" w:firstRowLastColumn="0" w:lastRowFirstColumn="0" w:lastRowLastColumn="0"/>
            </w:pPr>
            <w:r w:rsidRPr="00741493">
              <w:rPr>
                <w:rFonts w:eastAsia="Times New Roman" w:cs="Arial"/>
                <w:bCs/>
                <w:sz w:val="24"/>
                <w:szCs w:val="24"/>
              </w:rPr>
              <w:t>Tasmanian State Service Award</w:t>
            </w:r>
          </w:p>
        </w:tc>
      </w:tr>
      <w:tr w:rsidR="005F3B0F"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5F3B0F" w:rsidRPr="006F6682" w:rsidRDefault="005F3B0F" w:rsidP="005F3B0F">
            <w:pPr>
              <w:rPr>
                <w:b w:val="0"/>
                <w:sz w:val="24"/>
                <w:szCs w:val="24"/>
              </w:rPr>
            </w:pPr>
            <w:r w:rsidRPr="006F6682">
              <w:rPr>
                <w:sz w:val="24"/>
                <w:szCs w:val="24"/>
              </w:rPr>
              <w:t>Classification</w:t>
            </w:r>
          </w:p>
        </w:tc>
        <w:tc>
          <w:tcPr>
            <w:tcW w:w="6458" w:type="dxa"/>
            <w:gridSpan w:val="2"/>
            <w:vAlign w:val="top"/>
          </w:tcPr>
          <w:p w14:paraId="40BA5B5D" w14:textId="17AA0EA9" w:rsidR="005F3B0F" w:rsidRPr="00B103A8" w:rsidRDefault="00BE4115" w:rsidP="005F3B0F">
            <w:pPr>
              <w:cnfStyle w:val="000000000000" w:firstRow="0" w:lastRow="0" w:firstColumn="0" w:lastColumn="0" w:oddVBand="0" w:evenVBand="0" w:oddHBand="0" w:evenHBand="0" w:firstRowFirstColumn="0" w:firstRowLastColumn="0" w:lastRowFirstColumn="0" w:lastRowLastColumn="0"/>
            </w:pPr>
            <w:r w:rsidRPr="00741493">
              <w:rPr>
                <w:rFonts w:eastAsia="Times New Roman" w:cs="Arial"/>
                <w:bCs/>
                <w:sz w:val="24"/>
                <w:szCs w:val="24"/>
              </w:rPr>
              <w:t>General Stream Band 6</w:t>
            </w:r>
          </w:p>
        </w:tc>
      </w:tr>
      <w:tr w:rsidR="00232460"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232460" w:rsidRPr="006F6682" w:rsidRDefault="00232460" w:rsidP="00232460">
            <w:pPr>
              <w:rPr>
                <w:b w:val="0"/>
                <w:sz w:val="24"/>
                <w:szCs w:val="24"/>
              </w:rPr>
            </w:pPr>
            <w:r w:rsidRPr="006F6682">
              <w:rPr>
                <w:sz w:val="24"/>
                <w:szCs w:val="24"/>
              </w:rPr>
              <w:t>Employment Conditions</w:t>
            </w:r>
          </w:p>
        </w:tc>
        <w:tc>
          <w:tcPr>
            <w:tcW w:w="6458" w:type="dxa"/>
            <w:gridSpan w:val="2"/>
            <w:vAlign w:val="top"/>
          </w:tcPr>
          <w:p w14:paraId="7AD6A1BD" w14:textId="34F48981" w:rsidR="005F3B0F" w:rsidRPr="00BE4115" w:rsidRDefault="00232460" w:rsidP="00232460">
            <w:pPr>
              <w:cnfStyle w:val="000000100000" w:firstRow="0" w:lastRow="0" w:firstColumn="0" w:lastColumn="0" w:oddVBand="0" w:evenVBand="0" w:oddHBand="1" w:evenHBand="0" w:firstRowFirstColumn="0" w:firstRowLastColumn="0" w:lastRowFirstColumn="0" w:lastRowLastColumn="0"/>
              <w:rPr>
                <w:bCs/>
                <w:sz w:val="24"/>
                <w:szCs w:val="24"/>
              </w:rPr>
            </w:pPr>
            <w:r w:rsidRPr="002942F8">
              <w:rPr>
                <w:bCs/>
                <w:sz w:val="24"/>
                <w:szCs w:val="24"/>
              </w:rPr>
              <w:t>Permanent or fixed-term, part-time</w:t>
            </w:r>
            <w:r w:rsidR="005F3B0F" w:rsidRPr="002942F8">
              <w:rPr>
                <w:bCs/>
                <w:sz w:val="24"/>
                <w:szCs w:val="24"/>
              </w:rPr>
              <w:t xml:space="preserve"> or full time, number of hours</w:t>
            </w:r>
            <w:r w:rsidRPr="002942F8">
              <w:rPr>
                <w:bCs/>
                <w:sz w:val="24"/>
                <w:szCs w:val="24"/>
              </w:rPr>
              <w:t xml:space="preserve"> per fortnight, </w:t>
            </w:r>
            <w:r w:rsidR="005F3B0F" w:rsidRPr="002942F8">
              <w:rPr>
                <w:bCs/>
                <w:sz w:val="24"/>
                <w:szCs w:val="24"/>
              </w:rPr>
              <w:t>52</w:t>
            </w:r>
            <w:r w:rsidRPr="002942F8">
              <w:rPr>
                <w:bCs/>
                <w:sz w:val="24"/>
                <w:szCs w:val="24"/>
              </w:rPr>
              <w:t xml:space="preserve"> weeks per year including 4 weeks annual leave.</w:t>
            </w:r>
          </w:p>
        </w:tc>
      </w:tr>
      <w:tr w:rsidR="00232460"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232460" w:rsidRPr="006F6682" w:rsidRDefault="00232460" w:rsidP="00232460">
            <w:pPr>
              <w:rPr>
                <w:b w:val="0"/>
                <w:sz w:val="24"/>
                <w:szCs w:val="24"/>
              </w:rPr>
            </w:pPr>
            <w:r w:rsidRPr="006F6682">
              <w:rPr>
                <w:sz w:val="24"/>
                <w:szCs w:val="24"/>
              </w:rPr>
              <w:t>Location</w:t>
            </w:r>
          </w:p>
        </w:tc>
        <w:tc>
          <w:tcPr>
            <w:tcW w:w="6458" w:type="dxa"/>
            <w:gridSpan w:val="2"/>
            <w:vAlign w:val="top"/>
          </w:tcPr>
          <w:p w14:paraId="032570CD" w14:textId="1672C4FA" w:rsidR="00232460" w:rsidRPr="00B103A8" w:rsidRDefault="00BE4115" w:rsidP="00232460">
            <w:pPr>
              <w:cnfStyle w:val="000000000000" w:firstRow="0" w:lastRow="0" w:firstColumn="0" w:lastColumn="0" w:oddVBand="0" w:evenVBand="0" w:oddHBand="0" w:evenHBand="0" w:firstRowFirstColumn="0" w:firstRowLastColumn="0" w:lastRowFirstColumn="0" w:lastRowLastColumn="0"/>
            </w:pPr>
            <w:r w:rsidRPr="00741493">
              <w:rPr>
                <w:rFonts w:eastAsia="Times New Roman"/>
                <w:sz w:val="24"/>
                <w:szCs w:val="24"/>
              </w:rPr>
              <w:t>Specified School or College</w:t>
            </w:r>
          </w:p>
        </w:tc>
      </w:tr>
      <w:tr w:rsidR="007D64D9" w14:paraId="5C4E8C44"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0328A29" w14:textId="7A535E78" w:rsidR="007D64D9" w:rsidRPr="006F6682" w:rsidRDefault="007D64D9" w:rsidP="007D64D9">
            <w:pPr>
              <w:rPr>
                <w:sz w:val="24"/>
                <w:szCs w:val="24"/>
              </w:rPr>
            </w:pPr>
            <w:r w:rsidRPr="006F6682">
              <w:rPr>
                <w:sz w:val="24"/>
                <w:szCs w:val="24"/>
              </w:rPr>
              <w:t>Check Type</w:t>
            </w:r>
          </w:p>
        </w:tc>
        <w:tc>
          <w:tcPr>
            <w:tcW w:w="6458" w:type="dxa"/>
            <w:gridSpan w:val="2"/>
            <w:vAlign w:val="top"/>
          </w:tcPr>
          <w:p w14:paraId="1DEB05E9" w14:textId="252358FE" w:rsidR="007D64D9" w:rsidRPr="00BE4115" w:rsidRDefault="007D64D9" w:rsidP="007D64D9">
            <w:pPr>
              <w:cnfStyle w:val="000000100000" w:firstRow="0" w:lastRow="0" w:firstColumn="0" w:lastColumn="0" w:oddVBand="0" w:evenVBand="0" w:oddHBand="1" w:evenHBand="0" w:firstRowFirstColumn="0" w:firstRowLastColumn="0" w:lastRowFirstColumn="0" w:lastRowLastColumn="0"/>
            </w:pPr>
            <w:r w:rsidRPr="00BE4115">
              <w:rPr>
                <w:rFonts w:eastAsia="Times New Roman"/>
                <w:sz w:val="24"/>
                <w:szCs w:val="24"/>
              </w:rPr>
              <w:t>N/A</w:t>
            </w:r>
          </w:p>
        </w:tc>
      </w:tr>
      <w:tr w:rsidR="005F3B0F" w14:paraId="78087E14"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4C67F7A0" w14:textId="2990E227" w:rsidR="005F3B0F" w:rsidRPr="006F6682" w:rsidRDefault="005F3B0F" w:rsidP="005F3B0F">
            <w:pPr>
              <w:rPr>
                <w:sz w:val="24"/>
                <w:szCs w:val="24"/>
              </w:rPr>
            </w:pPr>
            <w:r w:rsidRPr="006F6682">
              <w:rPr>
                <w:sz w:val="24"/>
                <w:szCs w:val="24"/>
              </w:rPr>
              <w:t>Check Frequency</w:t>
            </w:r>
          </w:p>
        </w:tc>
        <w:tc>
          <w:tcPr>
            <w:tcW w:w="6458" w:type="dxa"/>
            <w:gridSpan w:val="2"/>
            <w:vAlign w:val="top"/>
          </w:tcPr>
          <w:p w14:paraId="4B9396AE" w14:textId="5819BFDE" w:rsidR="005F3B0F" w:rsidRPr="00BE4115" w:rsidRDefault="005F3B0F" w:rsidP="005F3B0F">
            <w:pPr>
              <w:cnfStyle w:val="000000000000" w:firstRow="0" w:lastRow="0" w:firstColumn="0" w:lastColumn="0" w:oddVBand="0" w:evenVBand="0" w:oddHBand="0" w:evenHBand="0" w:firstRowFirstColumn="0" w:firstRowLastColumn="0" w:lastRowFirstColumn="0" w:lastRowLastColumn="0"/>
            </w:pPr>
            <w:r w:rsidRPr="00BE4115">
              <w:rPr>
                <w:rFonts w:eastAsia="Times New Roman"/>
                <w:sz w:val="24"/>
                <w:szCs w:val="24"/>
              </w:rPr>
              <w:t>N/A</w:t>
            </w:r>
          </w:p>
        </w:tc>
      </w:tr>
    </w:tbl>
    <w:p w14:paraId="45FC4D4C" w14:textId="60A5CF8D" w:rsidR="00360CDB" w:rsidRPr="00190B67" w:rsidRDefault="005F3B0F" w:rsidP="00360CDB">
      <w:pPr>
        <w:pStyle w:val="Heading2"/>
        <w:rPr>
          <w:color w:val="011947"/>
        </w:rPr>
      </w:pPr>
      <w:r w:rsidRPr="00190B67">
        <w:rPr>
          <w:color w:val="011947"/>
        </w:rPr>
        <w:t>Primary Purpose</w:t>
      </w:r>
    </w:p>
    <w:p w14:paraId="10DBC75B" w14:textId="77777777" w:rsidR="009F42EC" w:rsidRPr="007B55D6" w:rsidRDefault="009F42EC" w:rsidP="009F42EC">
      <w:pPr>
        <w:rPr>
          <w:sz w:val="24"/>
          <w:szCs w:val="24"/>
        </w:rPr>
      </w:pPr>
      <w:r w:rsidRPr="007B55D6">
        <w:rPr>
          <w:sz w:val="24"/>
          <w:szCs w:val="24"/>
        </w:rPr>
        <w:t xml:space="preserve">Manage and co-ordinate the administrative support service and assigned resources: general, financial, facility and human. Provide authoritative advice and support to the </w:t>
      </w:r>
      <w:proofErr w:type="gramStart"/>
      <w:r w:rsidRPr="007B55D6">
        <w:rPr>
          <w:sz w:val="24"/>
          <w:szCs w:val="24"/>
        </w:rPr>
        <w:t>Principal</w:t>
      </w:r>
      <w:proofErr w:type="gramEnd"/>
      <w:r w:rsidRPr="007B55D6">
        <w:rPr>
          <w:sz w:val="24"/>
          <w:szCs w:val="24"/>
        </w:rPr>
        <w:t xml:space="preserve"> and senior staff on administrative, resource and service management. Contribute significantly to the delivery and improvement of administrative service outcomes.</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66F2687B" w14:textId="77777777" w:rsidR="00505B9F" w:rsidRPr="007B55D6" w:rsidRDefault="00505B9F" w:rsidP="00505B9F">
      <w:pPr>
        <w:rPr>
          <w:sz w:val="24"/>
          <w:szCs w:val="24"/>
        </w:rPr>
      </w:pPr>
      <w:bookmarkStart w:id="1" w:name="_Hlk127543251"/>
      <w:r w:rsidRPr="007B55D6">
        <w:rPr>
          <w:sz w:val="24"/>
          <w:szCs w:val="24"/>
        </w:rPr>
        <w:t xml:space="preserve">As a member of the management team the occupant is responsible for the effective and efficient management and quality control of administrative service delivery outcomes and for the provision of authoritative advice, support and recommendations direct to the </w:t>
      </w:r>
      <w:proofErr w:type="gramStart"/>
      <w:r w:rsidRPr="007B55D6">
        <w:rPr>
          <w:sz w:val="24"/>
          <w:szCs w:val="24"/>
        </w:rPr>
        <w:t>Principal</w:t>
      </w:r>
      <w:proofErr w:type="gramEnd"/>
      <w:r w:rsidRPr="007B55D6">
        <w:rPr>
          <w:sz w:val="24"/>
          <w:szCs w:val="24"/>
        </w:rPr>
        <w:t xml:space="preserve">. Responsible for the development and implementation of operational solutions, policies and guidelines to deliver and improve service delivery outcomes. </w:t>
      </w:r>
    </w:p>
    <w:p w14:paraId="7C9F17A3" w14:textId="77777777" w:rsidR="00505B9F" w:rsidRPr="007B55D6" w:rsidRDefault="00505B9F" w:rsidP="00505B9F">
      <w:pPr>
        <w:rPr>
          <w:sz w:val="24"/>
          <w:szCs w:val="24"/>
        </w:rPr>
      </w:pPr>
      <w:r w:rsidRPr="007B55D6">
        <w:rPr>
          <w:sz w:val="24"/>
          <w:szCs w:val="24"/>
        </w:rPr>
        <w:t xml:space="preserve">The occupant operates with considerable independence in the determination of administrative priorities procedures and approach with overall guidance and instruction on unit goals and objectives from the </w:t>
      </w:r>
      <w:proofErr w:type="gramStart"/>
      <w:r w:rsidRPr="007B55D6">
        <w:rPr>
          <w:sz w:val="24"/>
          <w:szCs w:val="24"/>
        </w:rPr>
        <w:t>Principal</w:t>
      </w:r>
      <w:proofErr w:type="gramEnd"/>
      <w:r w:rsidRPr="007B55D6">
        <w:rPr>
          <w:sz w:val="24"/>
          <w:szCs w:val="24"/>
        </w:rPr>
        <w:t xml:space="preserve">. Guidance may occasionally be received on modifications to arrangements. The occupant is required to understand and apply contemporary departmental </w:t>
      </w:r>
      <w:r w:rsidRPr="007B55D6">
        <w:rPr>
          <w:sz w:val="24"/>
          <w:szCs w:val="24"/>
        </w:rPr>
        <w:lastRenderedPageBreak/>
        <w:t>administrative standards and is expected to keep up to date with developments and change in this area.</w:t>
      </w:r>
    </w:p>
    <w:p w14:paraId="2B0F4C18" w14:textId="4A342FA5" w:rsidR="00360CDB" w:rsidRPr="002942F8" w:rsidRDefault="00360CDB" w:rsidP="00360CDB">
      <w:pPr>
        <w:rPr>
          <w:sz w:val="24"/>
          <w:szCs w:val="24"/>
        </w:rPr>
      </w:pPr>
      <w:r w:rsidRPr="002942F8">
        <w:rPr>
          <w:sz w:val="24"/>
          <w:szCs w:val="24"/>
        </w:rPr>
        <w:t xml:space="preserve">The </w:t>
      </w:r>
      <w:r w:rsidR="001906FA" w:rsidRPr="002942F8">
        <w:rPr>
          <w:sz w:val="24"/>
          <w:szCs w:val="24"/>
        </w:rPr>
        <w:t>D</w:t>
      </w:r>
      <w:r w:rsidRPr="002942F8">
        <w:rPr>
          <w:sz w:val="24"/>
          <w:szCs w:val="24"/>
        </w:rPr>
        <w:t>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76EDB0B6" w14:textId="77777777" w:rsidR="005F3B0F" w:rsidRPr="006D0F5B" w:rsidRDefault="005F3B0F" w:rsidP="005F3B0F">
      <w:pPr>
        <w:jc w:val="both"/>
        <w:rPr>
          <w:rFonts w:eastAsia="Times New Roman"/>
          <w:sz w:val="24"/>
          <w:szCs w:val="20"/>
        </w:rPr>
      </w:pPr>
      <w:r w:rsidRPr="006D0F5B">
        <w:rPr>
          <w:rFonts w:eastAsia="Times New Roman"/>
          <w:sz w:val="24"/>
          <w:szCs w:val="20"/>
        </w:rPr>
        <w:t>In the delivery of the department’s activities, the occupant must ensure that:</w:t>
      </w:r>
    </w:p>
    <w:p w14:paraId="17A12996" w14:textId="77777777" w:rsidR="005F3B0F" w:rsidRPr="006D0F5B" w:rsidRDefault="005F3B0F" w:rsidP="005F3B0F">
      <w:pPr>
        <w:numPr>
          <w:ilvl w:val="0"/>
          <w:numId w:val="35"/>
        </w:numPr>
        <w:spacing w:before="0" w:after="0"/>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1CC50F86" w14:textId="77777777" w:rsidR="005F3B0F" w:rsidRPr="006D0F5B" w:rsidRDefault="005F3B0F" w:rsidP="005F3B0F">
      <w:pPr>
        <w:numPr>
          <w:ilvl w:val="0"/>
          <w:numId w:val="35"/>
        </w:numPr>
        <w:spacing w:before="0" w:after="0"/>
        <w:ind w:left="714" w:hanging="357"/>
        <w:jc w:val="both"/>
        <w:rPr>
          <w:rFonts w:eastAsia="Times New Roman"/>
          <w:sz w:val="24"/>
          <w:szCs w:val="20"/>
        </w:rPr>
      </w:pPr>
      <w:r w:rsidRPr="006D0F5B">
        <w:rPr>
          <w:rFonts w:eastAsia="Times New Roman"/>
          <w:sz w:val="24"/>
          <w:szCs w:val="20"/>
        </w:rPr>
        <w:t>Decisions and actions are made ethically and with integrity, on the basis that such is legal, is right and is reasonable based on an objective standard.</w:t>
      </w:r>
    </w:p>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8605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53715357" w14:textId="77777777" w:rsidR="00896EA4" w:rsidRPr="00DB0ABE" w:rsidRDefault="00896EA4" w:rsidP="00896EA4">
      <w:pPr>
        <w:pStyle w:val="ListParagraph"/>
        <w:numPr>
          <w:ilvl w:val="0"/>
          <w:numId w:val="40"/>
        </w:numPr>
        <w:jc w:val="both"/>
        <w:rPr>
          <w:sz w:val="24"/>
          <w:szCs w:val="24"/>
        </w:rPr>
      </w:pPr>
      <w:r w:rsidRPr="00DB0ABE">
        <w:rPr>
          <w:sz w:val="24"/>
          <w:szCs w:val="24"/>
        </w:rPr>
        <w:t xml:space="preserve">Manage and co-ordinate the work assignments and performance of assigned non-teaching staff: prepare and provide effective training and procedural documentation, undertake performance management evaluation and arrange for the provision of personal and professional development programs. </w:t>
      </w:r>
    </w:p>
    <w:p w14:paraId="1CA89201" w14:textId="77777777" w:rsidR="00BE1467" w:rsidRPr="000B4766" w:rsidRDefault="00BE1467" w:rsidP="00BE1467">
      <w:pPr>
        <w:pStyle w:val="ListParagraph"/>
        <w:numPr>
          <w:ilvl w:val="0"/>
          <w:numId w:val="40"/>
        </w:numPr>
        <w:jc w:val="both"/>
        <w:rPr>
          <w:sz w:val="24"/>
          <w:szCs w:val="24"/>
        </w:rPr>
      </w:pPr>
      <w:r w:rsidRPr="000B4766">
        <w:rPr>
          <w:sz w:val="24"/>
          <w:szCs w:val="24"/>
        </w:rPr>
        <w:t xml:space="preserve">Manage the delivery of administrative services and provide effective and efficient administrative and executive support to the principal and other senior staff. Provide authoritative advice directly to the </w:t>
      </w:r>
      <w:proofErr w:type="gramStart"/>
      <w:r w:rsidRPr="000B4766">
        <w:rPr>
          <w:sz w:val="24"/>
          <w:szCs w:val="24"/>
        </w:rPr>
        <w:t>Principal</w:t>
      </w:r>
      <w:proofErr w:type="gramEnd"/>
      <w:r w:rsidRPr="000B4766">
        <w:rPr>
          <w:sz w:val="24"/>
          <w:szCs w:val="24"/>
        </w:rPr>
        <w:t xml:space="preserve"> on general administrative and resource issues undertaking relevant research and analysis as required. </w:t>
      </w:r>
    </w:p>
    <w:p w14:paraId="69D56851" w14:textId="77777777" w:rsidR="00FB0BE5" w:rsidRPr="004C763C" w:rsidRDefault="00FB0BE5" w:rsidP="00FB0BE5">
      <w:pPr>
        <w:pStyle w:val="ListParagraph"/>
        <w:numPr>
          <w:ilvl w:val="0"/>
          <w:numId w:val="40"/>
        </w:numPr>
        <w:jc w:val="both"/>
        <w:rPr>
          <w:sz w:val="24"/>
          <w:szCs w:val="24"/>
        </w:rPr>
      </w:pPr>
      <w:r w:rsidRPr="004C763C">
        <w:rPr>
          <w:sz w:val="24"/>
          <w:szCs w:val="24"/>
        </w:rPr>
        <w:t>Liaise and consult effectively with a wide range of stakeholders including government and non-government organisations, departmental Learning Services, college / school and community associations, bodies and representatives to build productive networks: represent the Department, prepare and provide reports and a range of communications for stakeholders as required.</w:t>
      </w:r>
    </w:p>
    <w:p w14:paraId="3AE70826" w14:textId="77777777" w:rsidR="007C36D8" w:rsidRPr="00663D8A" w:rsidRDefault="007C36D8" w:rsidP="007C36D8">
      <w:pPr>
        <w:pStyle w:val="ListParagraph"/>
        <w:numPr>
          <w:ilvl w:val="0"/>
          <w:numId w:val="40"/>
        </w:numPr>
        <w:jc w:val="both"/>
        <w:rPr>
          <w:sz w:val="24"/>
          <w:szCs w:val="24"/>
        </w:rPr>
      </w:pPr>
      <w:r w:rsidRPr="00663D8A">
        <w:rPr>
          <w:sz w:val="24"/>
          <w:szCs w:val="24"/>
        </w:rPr>
        <w:t xml:space="preserve">In the context of the operational framework manage, develop and provide authoritative advice on the administrative, human, financial and physical resources including assets and inventory and assigned residences, split or off campus facilities. </w:t>
      </w:r>
    </w:p>
    <w:p w14:paraId="1D24D986" w14:textId="77777777" w:rsidR="000C694D" w:rsidRPr="00B95983" w:rsidRDefault="000C694D" w:rsidP="000C694D">
      <w:pPr>
        <w:pStyle w:val="ListParagraph"/>
        <w:numPr>
          <w:ilvl w:val="0"/>
          <w:numId w:val="40"/>
        </w:numPr>
        <w:jc w:val="both"/>
        <w:rPr>
          <w:sz w:val="24"/>
          <w:szCs w:val="24"/>
        </w:rPr>
      </w:pPr>
      <w:r w:rsidRPr="00B95983">
        <w:rPr>
          <w:sz w:val="24"/>
          <w:szCs w:val="24"/>
        </w:rPr>
        <w:t>Undertake the planning, research, analysis and evaluation of complex resource management issues including projects, programs and initiatives and prepare associated high level reports, submissions, grant applications and correspondence.</w:t>
      </w:r>
    </w:p>
    <w:p w14:paraId="33EDC576" w14:textId="77777777" w:rsidR="00794343" w:rsidRPr="008060D0" w:rsidRDefault="00794343" w:rsidP="00794343">
      <w:pPr>
        <w:pStyle w:val="ListParagraph"/>
        <w:numPr>
          <w:ilvl w:val="0"/>
          <w:numId w:val="40"/>
        </w:numPr>
        <w:jc w:val="both"/>
        <w:rPr>
          <w:sz w:val="24"/>
          <w:szCs w:val="24"/>
        </w:rPr>
      </w:pPr>
      <w:r w:rsidRPr="008060D0">
        <w:rPr>
          <w:sz w:val="24"/>
          <w:szCs w:val="24"/>
        </w:rPr>
        <w:t xml:space="preserve">Interpret and apply Government and departmental policy through the development and implementation of administrative policies, procedures and guidelines that ensure effective operational outcomes. </w:t>
      </w:r>
    </w:p>
    <w:p w14:paraId="2236AF2F" w14:textId="77777777" w:rsidR="00FA5F7A" w:rsidRPr="000B2CD2" w:rsidRDefault="00FA5F7A" w:rsidP="00FA5F7A">
      <w:pPr>
        <w:pStyle w:val="ListParagraph"/>
        <w:numPr>
          <w:ilvl w:val="0"/>
          <w:numId w:val="40"/>
        </w:numPr>
        <w:jc w:val="both"/>
        <w:rPr>
          <w:sz w:val="24"/>
          <w:szCs w:val="24"/>
        </w:rPr>
      </w:pPr>
      <w:r w:rsidRPr="007C08B4">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lastRenderedPageBreak/>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5EFFEE4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20B14073" w14:textId="77777777" w:rsidR="007D272E" w:rsidRPr="006E64EF" w:rsidRDefault="007D272E" w:rsidP="007D272E">
      <w:pPr>
        <w:pStyle w:val="ListParagraph"/>
        <w:numPr>
          <w:ilvl w:val="0"/>
          <w:numId w:val="42"/>
        </w:numPr>
        <w:jc w:val="both"/>
        <w:rPr>
          <w:sz w:val="24"/>
          <w:szCs w:val="24"/>
        </w:rPr>
      </w:pPr>
      <w:r w:rsidRPr="006E64EF">
        <w:rPr>
          <w:sz w:val="24"/>
          <w:szCs w:val="24"/>
        </w:rPr>
        <w:t>Significant expertise in the provision of administrative, executive and program support services including staff and resources management, in particular budget management, financial and staff planning.</w:t>
      </w:r>
    </w:p>
    <w:p w14:paraId="13DB4B3F" w14:textId="77777777" w:rsidR="006D6D57" w:rsidRPr="006E64EF" w:rsidRDefault="006D6D57" w:rsidP="006D6D57">
      <w:pPr>
        <w:pStyle w:val="ListParagraph"/>
        <w:numPr>
          <w:ilvl w:val="0"/>
          <w:numId w:val="42"/>
        </w:numPr>
        <w:jc w:val="both"/>
        <w:rPr>
          <w:sz w:val="24"/>
          <w:szCs w:val="24"/>
        </w:rPr>
      </w:pPr>
      <w:r w:rsidRPr="006E64EF">
        <w:rPr>
          <w:sz w:val="24"/>
          <w:szCs w:val="24"/>
        </w:rPr>
        <w:t>Demonstrated in depth program and administrative management experience coupled with significant organisational and leadership skills including the ability to effectively manage, supervise and mentor staff to achieve effective operational outcomes.</w:t>
      </w:r>
    </w:p>
    <w:p w14:paraId="291C4ADF" w14:textId="77777777" w:rsidR="00204A49" w:rsidRPr="006E64EF" w:rsidRDefault="00204A49" w:rsidP="00204A49">
      <w:pPr>
        <w:pStyle w:val="ListParagraph"/>
        <w:numPr>
          <w:ilvl w:val="0"/>
          <w:numId w:val="42"/>
        </w:numPr>
        <w:jc w:val="both"/>
        <w:rPr>
          <w:sz w:val="24"/>
          <w:szCs w:val="24"/>
        </w:rPr>
      </w:pPr>
      <w:r w:rsidRPr="006E64EF">
        <w:rPr>
          <w:sz w:val="24"/>
          <w:szCs w:val="24"/>
        </w:rPr>
        <w:t>Highly developed planning, research, analysis and investigative skills including the ability to exercise independent judgement and use conceptual and reasoning skills to solve often complex issues.</w:t>
      </w:r>
    </w:p>
    <w:p w14:paraId="695D2AB4" w14:textId="77777777" w:rsidR="007B4388" w:rsidRPr="006E64EF" w:rsidRDefault="007B4388" w:rsidP="007B4388">
      <w:pPr>
        <w:pStyle w:val="ListParagraph"/>
        <w:numPr>
          <w:ilvl w:val="0"/>
          <w:numId w:val="42"/>
        </w:numPr>
        <w:jc w:val="both"/>
        <w:rPr>
          <w:sz w:val="24"/>
          <w:szCs w:val="24"/>
        </w:rPr>
      </w:pPr>
      <w:r w:rsidRPr="006E64EF">
        <w:rPr>
          <w:sz w:val="24"/>
          <w:szCs w:val="24"/>
        </w:rPr>
        <w:t>Highly developed interpersonal, verbal and written communication skills including liaison, conflict resolution and negotiation skills with the ability to provide authoritative management advice and interact effectively with a wide range of stakeholders to develop effective networks.</w:t>
      </w:r>
    </w:p>
    <w:p w14:paraId="0E47104C" w14:textId="70C4ADA3" w:rsidR="00D72617" w:rsidRPr="000B2CD2" w:rsidRDefault="0093192A" w:rsidP="00D72617">
      <w:pPr>
        <w:pStyle w:val="ListParagraph"/>
        <w:numPr>
          <w:ilvl w:val="0"/>
          <w:numId w:val="42"/>
        </w:numPr>
        <w:jc w:val="both"/>
        <w:rPr>
          <w:sz w:val="24"/>
          <w:szCs w:val="24"/>
        </w:rPr>
      </w:pPr>
      <w:r w:rsidRPr="006E64EF">
        <w:rPr>
          <w:sz w:val="24"/>
          <w:szCs w:val="24"/>
        </w:rPr>
        <w:t xml:space="preserve">Significant capacity for initiative, innovation, </w:t>
      </w:r>
      <w:proofErr w:type="spellStart"/>
      <w:r w:rsidRPr="006E64EF">
        <w:rPr>
          <w:sz w:val="24"/>
          <w:szCs w:val="24"/>
        </w:rPr>
        <w:t>self motivation</w:t>
      </w:r>
      <w:proofErr w:type="spellEnd"/>
      <w:r w:rsidRPr="006E64EF">
        <w:rPr>
          <w:sz w:val="24"/>
          <w:szCs w:val="24"/>
        </w:rPr>
        <w:t xml:space="preserve"> and flexibility and the ability to lead and encourage the development of a positive team environment</w:t>
      </w:r>
      <w:r>
        <w:rPr>
          <w:sz w:val="24"/>
          <w:szCs w:val="24"/>
        </w:rPr>
        <w:t>.</w:t>
      </w:r>
    </w:p>
    <w:p w14:paraId="6B0EB0C9" w14:textId="159F1CCC" w:rsidR="000C360B" w:rsidRPr="00CA69FD" w:rsidRDefault="00CA69FD" w:rsidP="00CA69FD">
      <w:pPr>
        <w:pStyle w:val="ListParagraph"/>
        <w:numPr>
          <w:ilvl w:val="0"/>
          <w:numId w:val="42"/>
        </w:numPr>
        <w:jc w:val="both"/>
        <w:rPr>
          <w:sz w:val="24"/>
          <w:szCs w:val="24"/>
        </w:rPr>
      </w:pPr>
      <w:r w:rsidRPr="006E64EF">
        <w:rPr>
          <w:sz w:val="24"/>
          <w:szCs w:val="24"/>
        </w:rPr>
        <w:t xml:space="preserve">Highly developed understanding of the administrative operational framework with the proven ability to understand and implement change management and to achieve results in an environment subject to changing conditions and workload. </w:t>
      </w:r>
    </w:p>
    <w:p w14:paraId="115BCC76" w14:textId="3934D8F5" w:rsidR="00360CDB" w:rsidRPr="00190B67" w:rsidRDefault="00360CDB" w:rsidP="00360CDB">
      <w:pPr>
        <w:pStyle w:val="Heading2"/>
        <w:rPr>
          <w:color w:val="011947"/>
        </w:rPr>
      </w:pPr>
      <w:r w:rsidRPr="00190B67">
        <w:rPr>
          <w:color w:val="011947"/>
        </w:rPr>
        <w:t>Requirements</w:t>
      </w:r>
    </w:p>
    <w:p w14:paraId="00609D39" w14:textId="77777777" w:rsidR="00653BB7" w:rsidRPr="00370004" w:rsidRDefault="00653BB7" w:rsidP="006F6682">
      <w:pPr>
        <w:spacing w:after="360"/>
        <w:jc w:val="both"/>
        <w:rPr>
          <w:rFonts w:eastAsia="Times New Roman" w:cs="Arial"/>
          <w:bCs/>
          <w:sz w:val="24"/>
          <w:szCs w:val="24"/>
        </w:rPr>
      </w:pPr>
      <w:bookmarkStart w:id="2" w:name="_Hlk119596995"/>
      <w:r w:rsidRPr="00370004">
        <w:rPr>
          <w:rFonts w:eastAsia="Times New Roman" w:cs="Arial"/>
          <w:bCs/>
          <w:sz w:val="24"/>
          <w:szCs w:val="24"/>
        </w:rPr>
        <w:t>Registration/licences that are essential requirements of this role must remain current and valid at all times whilst employed in this role and the status of these may be checked at any time during employment. It is the employee’s responsibility to ensure that registration/licences remain current and to advise the Employer if their circumstances change. This includes notifying the Employer of any new criminal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0F7F1D3A" w14:textId="77777777" w:rsidR="00E432FB" w:rsidRDefault="004E5DAC" w:rsidP="00E432FB">
            <w:pPr>
              <w:rPr>
                <w:b/>
                <w:sz w:val="24"/>
                <w:szCs w:val="24"/>
              </w:rPr>
            </w:pPr>
            <w:r w:rsidRPr="00A65F3B">
              <w:rPr>
                <w:b/>
                <w:sz w:val="24"/>
                <w:szCs w:val="24"/>
              </w:rPr>
              <w:lastRenderedPageBreak/>
              <w:t>Essential</w:t>
            </w:r>
          </w:p>
          <w:p w14:paraId="46B9313A" w14:textId="77777777" w:rsidR="006373A0" w:rsidRDefault="006373A0" w:rsidP="006373A0">
            <w:pPr>
              <w:rPr>
                <w:b/>
                <w:sz w:val="24"/>
                <w:szCs w:val="24"/>
              </w:rPr>
            </w:pPr>
          </w:p>
          <w:p w14:paraId="6775FCED" w14:textId="69F4ABDB" w:rsidR="006373A0" w:rsidRPr="006373A0" w:rsidRDefault="006373A0" w:rsidP="006373A0">
            <w:pPr>
              <w:rPr>
                <w:sz w:val="24"/>
                <w:szCs w:val="24"/>
              </w:rPr>
            </w:pP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215DAA0E" w:rsidR="00E432FB" w:rsidRPr="00604029" w:rsidRDefault="004B06B8" w:rsidP="00604029">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r w:rsidRPr="00604029">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14699B70" w:rsidR="0026062E" w:rsidRPr="00DF1F6B" w:rsidRDefault="00DF1F6B" w:rsidP="00DF1F6B">
            <w:pPr>
              <w:pStyle w:val="ListParagraph"/>
              <w:numPr>
                <w:ilvl w:val="0"/>
                <w:numId w:val="46"/>
              </w:numPr>
              <w:spacing w:line="259" w:lineRule="auto"/>
              <w:contextualSpacing/>
              <w:rPr>
                <w:rFonts w:eastAsia="Times New Roman"/>
              </w:rPr>
            </w:pPr>
            <w:r w:rsidRPr="00DF1F6B">
              <w:rPr>
                <w:rFonts w:eastAsia="Times New Roman"/>
                <w:sz w:val="24"/>
                <w:szCs w:val="24"/>
              </w:rPr>
              <w:t>Qualification or studies in relevant areas e.g. human resources, business studies or accounting.</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w:t>
      </w:r>
      <w:r>
        <w:rPr>
          <w:sz w:val="24"/>
          <w:szCs w:val="24"/>
        </w:rPr>
        <w:lastRenderedPageBreak/>
        <w:t>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lastRenderedPageBreak/>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0FCCF013" w14:textId="242BE0A8"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3"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9E27179" w:rsidR="0037723F" w:rsidRDefault="0037723F" w:rsidP="006D6A31">
            <w:pPr>
              <w:tabs>
                <w:tab w:val="left" w:pos="180"/>
              </w:tabs>
              <w:rPr>
                <w:rFonts w:cs="Arial"/>
              </w:rPr>
            </w:pPr>
            <w:r w:rsidRPr="00D720EC">
              <w:rPr>
                <w:rFonts w:cs="Arial"/>
                <w:b/>
              </w:rPr>
              <w:t xml:space="preserve">APPROVED BY HRM DELEGATE: </w:t>
            </w:r>
            <w:r w:rsidRPr="00D720EC">
              <w:rPr>
                <w:rFonts w:cs="Arial"/>
              </w:rPr>
              <w:t xml:space="preserve">973874 – </w:t>
            </w:r>
            <w:r w:rsidR="008629B1">
              <w:rPr>
                <w:rFonts w:cs="Arial"/>
              </w:rPr>
              <w:t>Deputy</w:t>
            </w:r>
            <w:r w:rsidRPr="00D720EC">
              <w:rPr>
                <w:rFonts w:cs="Arial"/>
              </w:rPr>
              <w:t xml:space="preserve"> Director </w:t>
            </w:r>
            <w:r>
              <w:rPr>
                <w:rFonts w:cs="Arial"/>
              </w:rPr>
              <w:t xml:space="preserve">Strategic Recruitment and Payroll Operations </w:t>
            </w:r>
            <w:r w:rsidRPr="00D720EC">
              <w:rPr>
                <w:rFonts w:cs="Arial"/>
              </w:rPr>
              <w:t>– DATE</w:t>
            </w:r>
            <w:r>
              <w:rPr>
                <w:rFonts w:cs="Arial"/>
              </w:rPr>
              <w:t xml:space="preserve"> </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77777777" w:rsidR="0037723F" w:rsidRPr="00D720EC" w:rsidRDefault="0037723F" w:rsidP="006D6A31">
            <w:pPr>
              <w:rPr>
                <w:rFonts w:cs="Arial"/>
                <w:sz w:val="16"/>
                <w:szCs w:val="16"/>
              </w:rPr>
            </w:pPr>
            <w:r w:rsidRPr="00D720EC">
              <w:rPr>
                <w:rFonts w:cs="Arial"/>
              </w:rPr>
              <w:t>Date Duties and Selection Criteria Last Reviewed:  insert month/year and initial e.g. 05/17 PMG</w:t>
            </w:r>
          </w:p>
        </w:tc>
      </w:tr>
      <w:bookmarkEnd w:id="3"/>
    </w:tbl>
    <w:p w14:paraId="5870B67D" w14:textId="68E43A95" w:rsidR="0037723F" w:rsidRPr="00B1141A" w:rsidRDefault="0037723F" w:rsidP="0037723F">
      <w:pPr>
        <w:tabs>
          <w:tab w:val="left" w:pos="180"/>
        </w:tabs>
        <w:spacing w:before="0"/>
        <w:rPr>
          <w:rFonts w:cs="Arial"/>
          <w:sz w:val="20"/>
        </w:rPr>
      </w:pPr>
    </w:p>
    <w:sectPr w:rsidR="0037723F" w:rsidRPr="00B1141A" w:rsidSect="00C45A16">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1A4C" w14:textId="77777777" w:rsidR="00C45A16" w:rsidRDefault="00C45A16" w:rsidP="00E93B9E">
      <w:pPr>
        <w:spacing w:after="0"/>
      </w:pPr>
      <w:r>
        <w:separator/>
      </w:r>
    </w:p>
  </w:endnote>
  <w:endnote w:type="continuationSeparator" w:id="0">
    <w:p w14:paraId="022D1AD2" w14:textId="77777777" w:rsidR="00C45A16" w:rsidRDefault="00C45A16"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76C4" w14:textId="77777777" w:rsidR="00C45A16" w:rsidRDefault="00C45A16" w:rsidP="00E93B9E">
      <w:pPr>
        <w:spacing w:after="0"/>
      </w:pPr>
      <w:r>
        <w:separator/>
      </w:r>
    </w:p>
  </w:footnote>
  <w:footnote w:type="continuationSeparator" w:id="0">
    <w:p w14:paraId="5485DC09" w14:textId="77777777" w:rsidR="00C45A16" w:rsidRDefault="00C45A16"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904758"/>
    <w:multiLevelType w:val="hybridMultilevel"/>
    <w:tmpl w:val="85A8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5460C"/>
    <w:multiLevelType w:val="multilevel"/>
    <w:tmpl w:val="CA3C0B58"/>
    <w:numStyleLink w:val="Bullets"/>
  </w:abstractNum>
  <w:abstractNum w:abstractNumId="24"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966D00"/>
    <w:multiLevelType w:val="multilevel"/>
    <w:tmpl w:val="9D52E4C8"/>
    <w:numStyleLink w:val="Headings"/>
  </w:abstractNum>
  <w:abstractNum w:abstractNumId="26"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3"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2"/>
  </w:num>
  <w:num w:numId="12" w16cid:durableId="695428067">
    <w:abstractNumId w:val="31"/>
  </w:num>
  <w:num w:numId="13" w16cid:durableId="17434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3"/>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1"/>
  </w:num>
  <w:num w:numId="22" w16cid:durableId="667290187">
    <w:abstractNumId w:val="25"/>
  </w:num>
  <w:num w:numId="23" w16cid:durableId="1440754403">
    <w:abstractNumId w:val="26"/>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4"/>
  </w:num>
  <w:num w:numId="26" w16cid:durableId="583146408">
    <w:abstractNumId w:val="27"/>
  </w:num>
  <w:num w:numId="27" w16cid:durableId="624771717">
    <w:abstractNumId w:val="18"/>
  </w:num>
  <w:num w:numId="28" w16cid:durableId="1393381672">
    <w:abstractNumId w:val="24"/>
  </w:num>
  <w:num w:numId="29" w16cid:durableId="1463189167">
    <w:abstractNumId w:val="32"/>
  </w:num>
  <w:num w:numId="30" w16cid:durableId="61105151">
    <w:abstractNumId w:val="28"/>
  </w:num>
  <w:num w:numId="31" w16cid:durableId="1648896647">
    <w:abstractNumId w:val="35"/>
  </w:num>
  <w:num w:numId="32" w16cid:durableId="133329015">
    <w:abstractNumId w:val="19"/>
  </w:num>
  <w:num w:numId="33" w16cid:durableId="22365621">
    <w:abstractNumId w:val="38"/>
  </w:num>
  <w:num w:numId="34" w16cid:durableId="1222055391">
    <w:abstractNumId w:val="39"/>
  </w:num>
  <w:num w:numId="35" w16cid:durableId="1836727596">
    <w:abstractNumId w:val="22"/>
  </w:num>
  <w:num w:numId="36" w16cid:durableId="319891238">
    <w:abstractNumId w:val="29"/>
  </w:num>
  <w:num w:numId="37" w16cid:durableId="1559319133">
    <w:abstractNumId w:val="37"/>
  </w:num>
  <w:num w:numId="38" w16cid:durableId="1009992410">
    <w:abstractNumId w:val="33"/>
  </w:num>
  <w:num w:numId="39" w16cid:durableId="1422800328">
    <w:abstractNumId w:val="40"/>
  </w:num>
  <w:num w:numId="40" w16cid:durableId="2147239570">
    <w:abstractNumId w:val="14"/>
  </w:num>
  <w:num w:numId="41" w16cid:durableId="1395589379">
    <w:abstractNumId w:val="15"/>
  </w:num>
  <w:num w:numId="42" w16cid:durableId="457382409">
    <w:abstractNumId w:val="13"/>
  </w:num>
  <w:num w:numId="43" w16cid:durableId="2059281428">
    <w:abstractNumId w:val="30"/>
  </w:num>
  <w:num w:numId="44" w16cid:durableId="1755395588">
    <w:abstractNumId w:val="43"/>
  </w:num>
  <w:num w:numId="45" w16cid:durableId="281304752">
    <w:abstractNumId w:val="36"/>
  </w:num>
  <w:num w:numId="46" w16cid:durableId="6894580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24A"/>
    <w:rsid w:val="000148F9"/>
    <w:rsid w:val="00020AC8"/>
    <w:rsid w:val="000223C0"/>
    <w:rsid w:val="0003297E"/>
    <w:rsid w:val="000520E4"/>
    <w:rsid w:val="000559B6"/>
    <w:rsid w:val="00057666"/>
    <w:rsid w:val="00064CEF"/>
    <w:rsid w:val="0006642C"/>
    <w:rsid w:val="00082A0F"/>
    <w:rsid w:val="000953A7"/>
    <w:rsid w:val="000A0B42"/>
    <w:rsid w:val="000B2CD2"/>
    <w:rsid w:val="000C360B"/>
    <w:rsid w:val="000C694D"/>
    <w:rsid w:val="000D4346"/>
    <w:rsid w:val="000E3179"/>
    <w:rsid w:val="000E3AF7"/>
    <w:rsid w:val="000F10FB"/>
    <w:rsid w:val="00102C39"/>
    <w:rsid w:val="001033DF"/>
    <w:rsid w:val="00116589"/>
    <w:rsid w:val="00121369"/>
    <w:rsid w:val="001265A8"/>
    <w:rsid w:val="00131297"/>
    <w:rsid w:val="00133042"/>
    <w:rsid w:val="001360D0"/>
    <w:rsid w:val="00140B20"/>
    <w:rsid w:val="00141559"/>
    <w:rsid w:val="001448EA"/>
    <w:rsid w:val="00155415"/>
    <w:rsid w:val="00156E6B"/>
    <w:rsid w:val="00176F7F"/>
    <w:rsid w:val="00180228"/>
    <w:rsid w:val="001870EB"/>
    <w:rsid w:val="001879E8"/>
    <w:rsid w:val="001906FA"/>
    <w:rsid w:val="00190B67"/>
    <w:rsid w:val="001A1165"/>
    <w:rsid w:val="001A4AC4"/>
    <w:rsid w:val="001A4EAE"/>
    <w:rsid w:val="001A6658"/>
    <w:rsid w:val="001D2DD4"/>
    <w:rsid w:val="001D4CC6"/>
    <w:rsid w:val="00202E3E"/>
    <w:rsid w:val="00204A49"/>
    <w:rsid w:val="00206DE5"/>
    <w:rsid w:val="0021036E"/>
    <w:rsid w:val="00224BDC"/>
    <w:rsid w:val="00232460"/>
    <w:rsid w:val="00232539"/>
    <w:rsid w:val="00243DF2"/>
    <w:rsid w:val="0026062E"/>
    <w:rsid w:val="0028795E"/>
    <w:rsid w:val="002900B1"/>
    <w:rsid w:val="00291D7A"/>
    <w:rsid w:val="002942F8"/>
    <w:rsid w:val="002A0339"/>
    <w:rsid w:val="002A1F8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269CD"/>
    <w:rsid w:val="004455FA"/>
    <w:rsid w:val="00454A22"/>
    <w:rsid w:val="004568CC"/>
    <w:rsid w:val="00467849"/>
    <w:rsid w:val="0047705C"/>
    <w:rsid w:val="00482F50"/>
    <w:rsid w:val="004B06B8"/>
    <w:rsid w:val="004B118F"/>
    <w:rsid w:val="004B1DF9"/>
    <w:rsid w:val="004C2944"/>
    <w:rsid w:val="004C2BAF"/>
    <w:rsid w:val="004C466D"/>
    <w:rsid w:val="004D0C42"/>
    <w:rsid w:val="004E5DAC"/>
    <w:rsid w:val="00501CCC"/>
    <w:rsid w:val="00505B9F"/>
    <w:rsid w:val="005071CC"/>
    <w:rsid w:val="00524D78"/>
    <w:rsid w:val="00534D87"/>
    <w:rsid w:val="00547D7C"/>
    <w:rsid w:val="00547F64"/>
    <w:rsid w:val="00561EC8"/>
    <w:rsid w:val="00575427"/>
    <w:rsid w:val="0057614B"/>
    <w:rsid w:val="005910A6"/>
    <w:rsid w:val="00591873"/>
    <w:rsid w:val="005A3E07"/>
    <w:rsid w:val="005E1DFF"/>
    <w:rsid w:val="005E6AE3"/>
    <w:rsid w:val="005E6E3B"/>
    <w:rsid w:val="005F3B0F"/>
    <w:rsid w:val="005F466E"/>
    <w:rsid w:val="00604029"/>
    <w:rsid w:val="00611208"/>
    <w:rsid w:val="00616D82"/>
    <w:rsid w:val="006179AA"/>
    <w:rsid w:val="00621F36"/>
    <w:rsid w:val="0063295A"/>
    <w:rsid w:val="00632C3F"/>
    <w:rsid w:val="006373A0"/>
    <w:rsid w:val="0064499C"/>
    <w:rsid w:val="00644F9F"/>
    <w:rsid w:val="00653BB7"/>
    <w:rsid w:val="00687373"/>
    <w:rsid w:val="00691C79"/>
    <w:rsid w:val="00693485"/>
    <w:rsid w:val="006A54A3"/>
    <w:rsid w:val="006B514D"/>
    <w:rsid w:val="006D6D57"/>
    <w:rsid w:val="006D6DC6"/>
    <w:rsid w:val="006E080C"/>
    <w:rsid w:val="006E2041"/>
    <w:rsid w:val="006E4272"/>
    <w:rsid w:val="006E7DCB"/>
    <w:rsid w:val="006F15D2"/>
    <w:rsid w:val="006F1EC6"/>
    <w:rsid w:val="006F6682"/>
    <w:rsid w:val="00704EB7"/>
    <w:rsid w:val="007167C2"/>
    <w:rsid w:val="00720C66"/>
    <w:rsid w:val="007503DC"/>
    <w:rsid w:val="007607BF"/>
    <w:rsid w:val="00761157"/>
    <w:rsid w:val="0076288C"/>
    <w:rsid w:val="007763C7"/>
    <w:rsid w:val="00781F77"/>
    <w:rsid w:val="00794343"/>
    <w:rsid w:val="007A4FF5"/>
    <w:rsid w:val="007A7845"/>
    <w:rsid w:val="007B4388"/>
    <w:rsid w:val="007C08B4"/>
    <w:rsid w:val="007C36D8"/>
    <w:rsid w:val="007C3F49"/>
    <w:rsid w:val="007D0524"/>
    <w:rsid w:val="007D272E"/>
    <w:rsid w:val="007D64D9"/>
    <w:rsid w:val="007E009D"/>
    <w:rsid w:val="007E6040"/>
    <w:rsid w:val="007F11D8"/>
    <w:rsid w:val="007F4A17"/>
    <w:rsid w:val="00805C7A"/>
    <w:rsid w:val="00807179"/>
    <w:rsid w:val="00815A91"/>
    <w:rsid w:val="0081635A"/>
    <w:rsid w:val="0082014A"/>
    <w:rsid w:val="00831B39"/>
    <w:rsid w:val="008433E6"/>
    <w:rsid w:val="00845E4A"/>
    <w:rsid w:val="00847537"/>
    <w:rsid w:val="00861B0A"/>
    <w:rsid w:val="008629B1"/>
    <w:rsid w:val="0088748C"/>
    <w:rsid w:val="00896EA4"/>
    <w:rsid w:val="008A5084"/>
    <w:rsid w:val="008B02B9"/>
    <w:rsid w:val="008B2A57"/>
    <w:rsid w:val="008C097F"/>
    <w:rsid w:val="008C3B71"/>
    <w:rsid w:val="008C7207"/>
    <w:rsid w:val="008D20B5"/>
    <w:rsid w:val="008D3A24"/>
    <w:rsid w:val="008E1563"/>
    <w:rsid w:val="008F2E1D"/>
    <w:rsid w:val="009051AD"/>
    <w:rsid w:val="009119A6"/>
    <w:rsid w:val="0093192A"/>
    <w:rsid w:val="0094083D"/>
    <w:rsid w:val="009456F9"/>
    <w:rsid w:val="009458E9"/>
    <w:rsid w:val="00954C08"/>
    <w:rsid w:val="00974C49"/>
    <w:rsid w:val="00984F64"/>
    <w:rsid w:val="009B2739"/>
    <w:rsid w:val="009B3564"/>
    <w:rsid w:val="009B41A2"/>
    <w:rsid w:val="009B4D8E"/>
    <w:rsid w:val="009F000E"/>
    <w:rsid w:val="009F2312"/>
    <w:rsid w:val="009F42EC"/>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3F10"/>
    <w:rsid w:val="00A940DC"/>
    <w:rsid w:val="00A94F50"/>
    <w:rsid w:val="00AC1E54"/>
    <w:rsid w:val="00AD79D7"/>
    <w:rsid w:val="00B02776"/>
    <w:rsid w:val="00B101A0"/>
    <w:rsid w:val="00B103A8"/>
    <w:rsid w:val="00B1141A"/>
    <w:rsid w:val="00B14419"/>
    <w:rsid w:val="00B17AB6"/>
    <w:rsid w:val="00B233D7"/>
    <w:rsid w:val="00B41B36"/>
    <w:rsid w:val="00B44728"/>
    <w:rsid w:val="00B47B9D"/>
    <w:rsid w:val="00B509FF"/>
    <w:rsid w:val="00B55584"/>
    <w:rsid w:val="00B56B2B"/>
    <w:rsid w:val="00B905CE"/>
    <w:rsid w:val="00B905E5"/>
    <w:rsid w:val="00B95B35"/>
    <w:rsid w:val="00BA316B"/>
    <w:rsid w:val="00BB5FDC"/>
    <w:rsid w:val="00BC3B94"/>
    <w:rsid w:val="00BC7B79"/>
    <w:rsid w:val="00BD518E"/>
    <w:rsid w:val="00BE1467"/>
    <w:rsid w:val="00BE4115"/>
    <w:rsid w:val="00C07D2B"/>
    <w:rsid w:val="00C240C6"/>
    <w:rsid w:val="00C24404"/>
    <w:rsid w:val="00C343B0"/>
    <w:rsid w:val="00C35E3F"/>
    <w:rsid w:val="00C443C3"/>
    <w:rsid w:val="00C45A16"/>
    <w:rsid w:val="00C47610"/>
    <w:rsid w:val="00C54D91"/>
    <w:rsid w:val="00C56942"/>
    <w:rsid w:val="00C637AE"/>
    <w:rsid w:val="00C80486"/>
    <w:rsid w:val="00C932EB"/>
    <w:rsid w:val="00C96E08"/>
    <w:rsid w:val="00CA664C"/>
    <w:rsid w:val="00CA69FD"/>
    <w:rsid w:val="00CB1318"/>
    <w:rsid w:val="00CB2562"/>
    <w:rsid w:val="00CD4C92"/>
    <w:rsid w:val="00CE4E33"/>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4508"/>
    <w:rsid w:val="00D852D2"/>
    <w:rsid w:val="00D87E42"/>
    <w:rsid w:val="00DA255F"/>
    <w:rsid w:val="00DA7C19"/>
    <w:rsid w:val="00DC2532"/>
    <w:rsid w:val="00DD0B41"/>
    <w:rsid w:val="00DE1EB7"/>
    <w:rsid w:val="00DE6C09"/>
    <w:rsid w:val="00DF1F6B"/>
    <w:rsid w:val="00DF49F3"/>
    <w:rsid w:val="00E03F4F"/>
    <w:rsid w:val="00E07412"/>
    <w:rsid w:val="00E13473"/>
    <w:rsid w:val="00E23E02"/>
    <w:rsid w:val="00E432FB"/>
    <w:rsid w:val="00E569C0"/>
    <w:rsid w:val="00E57648"/>
    <w:rsid w:val="00E7361B"/>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90501"/>
    <w:rsid w:val="00F94FE9"/>
    <w:rsid w:val="00F9547D"/>
    <w:rsid w:val="00FA369D"/>
    <w:rsid w:val="00FA5F7A"/>
    <w:rsid w:val="00FB0BE5"/>
    <w:rsid w:val="00FB3D40"/>
    <w:rsid w:val="00FC4A72"/>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33313F"/>
    <w:rsid w:val="00716ACA"/>
    <w:rsid w:val="009243E4"/>
    <w:rsid w:val="00A21804"/>
    <w:rsid w:val="00B74F1B"/>
    <w:rsid w:val="00E82B3D"/>
    <w:rsid w:val="00FC7F2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7F20"/>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12755</Characters>
  <Application>Microsoft Office Word</Application>
  <DocSecurity>0</DocSecurity>
  <Lines>236</Lines>
  <Paragraphs>135</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Manager</dc:title>
  <dc:subject/>
  <dc:creator>Dinnessen, Cameron</dc:creator>
  <cp:keywords/>
  <dc:description/>
  <cp:lastModifiedBy>Graham, Aaliyah</cp:lastModifiedBy>
  <cp:revision>3</cp:revision>
  <cp:lastPrinted>2024-03-07T23:22:00Z</cp:lastPrinted>
  <dcterms:created xsi:type="dcterms:W3CDTF">2024-03-07T23:22:00Z</dcterms:created>
  <dcterms:modified xsi:type="dcterms:W3CDTF">2024-03-07T23:22:00Z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