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BB2B4048371944A79A3D5D7C052FE964"/>
        </w:placeholder>
        <w:dataBinding w:prefixMappings="xmlns:ns0='http://purl.org/dc/elements/1.1/' xmlns:ns1='http://schemas.openxmlformats.org/package/2006/metadata/core-properties' " w:xpath="/ns1:coreProperties[1]/ns0:title[1]" w:storeItemID="{6C3C8BC8-F283-45AE-878A-BAB7291924A1}"/>
        <w:text/>
      </w:sdtPr>
      <w:sdtContent>
        <w:p w14:paraId="18EA836B" w14:textId="7E0A6CBC" w:rsidR="009D6E8A" w:rsidRPr="00274CC1" w:rsidRDefault="00DA4347" w:rsidP="00D776BC">
          <w:pPr>
            <w:pStyle w:val="Title"/>
            <w:spacing w:after="120" w:line="288" w:lineRule="auto"/>
            <w:contextualSpacing w:val="0"/>
            <w:jc w:val="both"/>
            <w:rPr>
              <w:color w:val="001947" w:themeColor="accent6"/>
              <w:sz w:val="48"/>
              <w:szCs w:val="48"/>
            </w:rPr>
          </w:pPr>
          <w:r>
            <w:rPr>
              <w:color w:val="001947" w:themeColor="accent6"/>
              <w:sz w:val="48"/>
              <w:szCs w:val="48"/>
            </w:rPr>
            <w:t>Case Conferencing Facilitator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0E167AFB"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7C06939" w14:textId="77777777" w:rsidR="009D6E8A" w:rsidRPr="0057614B" w:rsidRDefault="009D6E8A" w:rsidP="00D776BC">
            <w:pPr>
              <w:spacing w:after="120"/>
              <w:jc w:val="both"/>
              <w:rPr>
                <w:bCs/>
                <w:sz w:val="28"/>
                <w:szCs w:val="28"/>
              </w:rPr>
            </w:pPr>
            <w:r w:rsidRPr="00E8310E">
              <w:rPr>
                <w:color w:val="001947" w:themeColor="accent6"/>
                <w:sz w:val="28"/>
                <w:szCs w:val="28"/>
              </w:rPr>
              <w:t xml:space="preserve">STATEMENT OF DUTIES </w:t>
            </w:r>
          </w:p>
        </w:tc>
        <w:tc>
          <w:tcPr>
            <w:tcW w:w="4846" w:type="dxa"/>
          </w:tcPr>
          <w:p w14:paraId="2B91A93E" w14:textId="4CF5B376" w:rsidR="009D6E8A" w:rsidRPr="0057614B" w:rsidRDefault="00BB7324" w:rsidP="00D776BC">
            <w:pPr>
              <w:spacing w:after="120"/>
              <w:jc w:val="right"/>
              <w:rPr>
                <w:sz w:val="28"/>
                <w:szCs w:val="28"/>
              </w:rPr>
            </w:pPr>
            <w:r>
              <w:rPr>
                <w:color w:val="001947" w:themeColor="accent6"/>
                <w:sz w:val="28"/>
                <w:szCs w:val="28"/>
              </w:rPr>
              <w:t>June</w:t>
            </w:r>
            <w:r w:rsidR="00853DA2">
              <w:rPr>
                <w:color w:val="001947" w:themeColor="accent6"/>
                <w:sz w:val="28"/>
                <w:szCs w:val="28"/>
              </w:rPr>
              <w:t xml:space="preserve"> 2025</w:t>
            </w:r>
          </w:p>
        </w:tc>
      </w:tr>
      <w:tr w:rsidR="00D2771F" w14:paraId="52596B7C" w14:textId="77777777" w:rsidTr="00D2771F">
        <w:trPr>
          <w:trHeight w:val="385"/>
        </w:trPr>
        <w:tc>
          <w:tcPr>
            <w:tcW w:w="3152" w:type="dxa"/>
          </w:tcPr>
          <w:p w14:paraId="0F789F4A"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Number</w:t>
            </w:r>
          </w:p>
        </w:tc>
        <w:tc>
          <w:tcPr>
            <w:tcW w:w="6540" w:type="dxa"/>
            <w:gridSpan w:val="2"/>
          </w:tcPr>
          <w:p w14:paraId="2183A4E3" w14:textId="3AB0A319" w:rsidR="00D2771F" w:rsidRPr="00045B4B" w:rsidRDefault="00794D87" w:rsidP="00D776BC">
            <w:pPr>
              <w:pStyle w:val="TableBodyText"/>
              <w:spacing w:after="120"/>
              <w:jc w:val="both"/>
              <w:rPr>
                <w:color w:val="000000" w:themeColor="text1"/>
                <w:sz w:val="24"/>
                <w:szCs w:val="24"/>
              </w:rPr>
            </w:pPr>
            <w:r>
              <w:rPr>
                <w:rFonts w:eastAsia="Times New Roman" w:cs="Arial"/>
                <w:bCs/>
                <w:color w:val="000000" w:themeColor="text1"/>
                <w:sz w:val="24"/>
                <w:szCs w:val="24"/>
              </w:rPr>
              <w:t>979872</w:t>
            </w:r>
          </w:p>
        </w:tc>
      </w:tr>
      <w:tr w:rsidR="00D2771F" w14:paraId="0562E4AD"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B7D57C7"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Portfolio</w:t>
            </w:r>
          </w:p>
        </w:tc>
        <w:tc>
          <w:tcPr>
            <w:tcW w:w="6540" w:type="dxa"/>
            <w:gridSpan w:val="2"/>
          </w:tcPr>
          <w:p w14:paraId="229D3E11" w14:textId="313F4535" w:rsidR="00D2771F" w:rsidRPr="00045B4B" w:rsidRDefault="002C689E" w:rsidP="00D776BC">
            <w:pPr>
              <w:pStyle w:val="TableBodyText"/>
              <w:spacing w:after="120"/>
              <w:jc w:val="both"/>
              <w:rPr>
                <w:color w:val="000000" w:themeColor="text1"/>
                <w:sz w:val="24"/>
                <w:szCs w:val="24"/>
              </w:rPr>
            </w:pPr>
            <w:r>
              <w:rPr>
                <w:rFonts w:eastAsia="Times New Roman" w:cs="Arial"/>
                <w:bCs/>
                <w:color w:val="000000" w:themeColor="text1"/>
                <w:sz w:val="24"/>
                <w:szCs w:val="24"/>
              </w:rPr>
              <w:t>Child Safety and Youth Justice Operations</w:t>
            </w:r>
          </w:p>
        </w:tc>
      </w:tr>
      <w:tr w:rsidR="00D2771F" w14:paraId="2D9443CF" w14:textId="77777777" w:rsidTr="00D2771F">
        <w:trPr>
          <w:trHeight w:val="385"/>
        </w:trPr>
        <w:tc>
          <w:tcPr>
            <w:tcW w:w="3152" w:type="dxa"/>
          </w:tcPr>
          <w:p w14:paraId="3DEB73CD"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Branch</w:t>
            </w:r>
          </w:p>
        </w:tc>
        <w:tc>
          <w:tcPr>
            <w:tcW w:w="6540" w:type="dxa"/>
            <w:gridSpan w:val="2"/>
          </w:tcPr>
          <w:p w14:paraId="0CC646BC" w14:textId="1EF3D5A0" w:rsidR="00D2771F" w:rsidRPr="00045B4B" w:rsidRDefault="006E7874" w:rsidP="00D776BC">
            <w:pPr>
              <w:pStyle w:val="TableBodyText"/>
              <w:spacing w:after="120"/>
              <w:jc w:val="both"/>
              <w:rPr>
                <w:color w:val="000000" w:themeColor="text1"/>
                <w:sz w:val="24"/>
                <w:szCs w:val="24"/>
              </w:rPr>
            </w:pPr>
            <w:r>
              <w:rPr>
                <w:rFonts w:eastAsia="Times New Roman" w:cs="Arial"/>
                <w:bCs/>
                <w:color w:val="000000" w:themeColor="text1"/>
                <w:sz w:val="24"/>
                <w:szCs w:val="24"/>
              </w:rPr>
              <w:t>Custodial Youth Justice</w:t>
            </w:r>
          </w:p>
        </w:tc>
      </w:tr>
      <w:tr w:rsidR="00D2771F" w14:paraId="4261C58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BFA27CE"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Section/Unit/School</w:t>
            </w:r>
          </w:p>
        </w:tc>
        <w:tc>
          <w:tcPr>
            <w:tcW w:w="6540" w:type="dxa"/>
            <w:gridSpan w:val="2"/>
          </w:tcPr>
          <w:p w14:paraId="36D5C7E1" w14:textId="645AE998" w:rsidR="00D2771F" w:rsidRPr="00045B4B" w:rsidRDefault="0067615C" w:rsidP="00D776BC">
            <w:pPr>
              <w:pStyle w:val="TableBodyText"/>
              <w:spacing w:after="120"/>
              <w:jc w:val="both"/>
              <w:rPr>
                <w:color w:val="000000" w:themeColor="text1"/>
                <w:sz w:val="24"/>
                <w:szCs w:val="24"/>
              </w:rPr>
            </w:pPr>
            <w:r w:rsidRPr="00045B4B">
              <w:rPr>
                <w:rFonts w:eastAsia="Times New Roman" w:cs="Arial"/>
                <w:bCs/>
                <w:color w:val="000000" w:themeColor="text1"/>
                <w:sz w:val="24"/>
                <w:szCs w:val="24"/>
              </w:rPr>
              <w:t>Ashley Youth Detention Centre</w:t>
            </w:r>
          </w:p>
        </w:tc>
      </w:tr>
      <w:tr w:rsidR="00D2771F" w14:paraId="5C95AC0A" w14:textId="77777777" w:rsidTr="00D2771F">
        <w:trPr>
          <w:trHeight w:val="362"/>
        </w:trPr>
        <w:tc>
          <w:tcPr>
            <w:tcW w:w="3152" w:type="dxa"/>
          </w:tcPr>
          <w:p w14:paraId="3BE29345"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Supervisor</w:t>
            </w:r>
          </w:p>
        </w:tc>
        <w:tc>
          <w:tcPr>
            <w:tcW w:w="6540" w:type="dxa"/>
            <w:gridSpan w:val="2"/>
          </w:tcPr>
          <w:p w14:paraId="7E389AC0" w14:textId="442E756D" w:rsidR="00D2771F" w:rsidRPr="00045B4B" w:rsidRDefault="00234DD7" w:rsidP="00D776BC">
            <w:pPr>
              <w:pStyle w:val="TableBodyText"/>
              <w:spacing w:after="120"/>
              <w:jc w:val="both"/>
              <w:rPr>
                <w:color w:val="000000" w:themeColor="text1"/>
                <w:sz w:val="24"/>
                <w:szCs w:val="24"/>
              </w:rPr>
            </w:pPr>
            <w:r>
              <w:rPr>
                <w:rFonts w:eastAsia="Times New Roman" w:cs="Arial"/>
                <w:bCs/>
                <w:color w:val="000000" w:themeColor="text1"/>
                <w:sz w:val="24"/>
                <w:szCs w:val="24"/>
              </w:rPr>
              <w:t>Manager Professional Services &amp; Policy</w:t>
            </w:r>
          </w:p>
        </w:tc>
      </w:tr>
      <w:tr w:rsidR="00D2771F" w14:paraId="1E86A347"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4F5D1DF"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Award/Agreement</w:t>
            </w:r>
          </w:p>
        </w:tc>
        <w:tc>
          <w:tcPr>
            <w:tcW w:w="6540" w:type="dxa"/>
            <w:gridSpan w:val="2"/>
          </w:tcPr>
          <w:sdt>
            <w:sdtPr>
              <w:rPr>
                <w:rFonts w:eastAsia="Times New Roman" w:cs="Arial"/>
                <w:bCs/>
                <w:color w:val="000000" w:themeColor="text1"/>
                <w:sz w:val="24"/>
                <w:szCs w:val="24"/>
              </w:rPr>
              <w:id w:val="1431852964"/>
              <w:placeholder>
                <w:docPart w:val="ED56CE5E59914501A54A7EA48E8F76B4"/>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15815AD7" w14:textId="774ADB68" w:rsidR="00D2771F" w:rsidRPr="00045B4B" w:rsidRDefault="00693CCC" w:rsidP="00D776BC">
                <w:pPr>
                  <w:pStyle w:val="TableBodyText"/>
                  <w:spacing w:after="120"/>
                  <w:jc w:val="both"/>
                  <w:rPr>
                    <w:color w:val="000000" w:themeColor="text1"/>
                    <w:sz w:val="24"/>
                    <w:szCs w:val="24"/>
                  </w:rPr>
                </w:pPr>
                <w:r w:rsidRPr="00045B4B">
                  <w:rPr>
                    <w:rFonts w:eastAsia="Times New Roman" w:cs="Arial"/>
                    <w:bCs/>
                    <w:color w:val="000000" w:themeColor="text1"/>
                    <w:sz w:val="24"/>
                    <w:szCs w:val="24"/>
                  </w:rPr>
                  <w:t>Allied Health Professionals Public Sector Union Wages Agreement</w:t>
                </w:r>
              </w:p>
            </w:sdtContent>
          </w:sdt>
        </w:tc>
      </w:tr>
      <w:tr w:rsidR="00D2771F" w14:paraId="726186EB" w14:textId="77777777" w:rsidTr="00D2771F">
        <w:trPr>
          <w:trHeight w:val="362"/>
        </w:trPr>
        <w:tc>
          <w:tcPr>
            <w:tcW w:w="3152" w:type="dxa"/>
          </w:tcPr>
          <w:p w14:paraId="2E32A4F9"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Classification</w:t>
            </w:r>
          </w:p>
        </w:tc>
        <w:tc>
          <w:tcPr>
            <w:tcW w:w="6540" w:type="dxa"/>
            <w:gridSpan w:val="2"/>
          </w:tcPr>
          <w:p w14:paraId="67EFB78D" w14:textId="6FAC88BA" w:rsidR="00D2771F" w:rsidRPr="00045B4B" w:rsidRDefault="009B3E95" w:rsidP="00D776BC">
            <w:pPr>
              <w:pStyle w:val="TableBodyText"/>
              <w:spacing w:after="120"/>
              <w:jc w:val="both"/>
              <w:rPr>
                <w:color w:val="000000" w:themeColor="text1"/>
                <w:sz w:val="24"/>
                <w:szCs w:val="24"/>
              </w:rPr>
            </w:pPr>
            <w:r>
              <w:rPr>
                <w:color w:val="000000" w:themeColor="text1"/>
                <w:sz w:val="24"/>
                <w:szCs w:val="24"/>
              </w:rPr>
              <w:t xml:space="preserve">Allied Health Professional, </w:t>
            </w:r>
            <w:r w:rsidR="00693CCC" w:rsidRPr="00045B4B">
              <w:rPr>
                <w:color w:val="000000" w:themeColor="text1"/>
                <w:sz w:val="24"/>
                <w:szCs w:val="24"/>
              </w:rPr>
              <w:t>Level 3</w:t>
            </w:r>
          </w:p>
        </w:tc>
      </w:tr>
      <w:tr w:rsidR="004C4F86" w14:paraId="4409D5AD"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2281D863" w14:textId="77777777" w:rsidR="009D6E8A" w:rsidRPr="00045B4B" w:rsidRDefault="009D6E8A" w:rsidP="00D776BC">
            <w:pPr>
              <w:pStyle w:val="TableBodyText"/>
              <w:spacing w:after="120"/>
              <w:jc w:val="both"/>
              <w:rPr>
                <w:color w:val="000000" w:themeColor="text1"/>
                <w:sz w:val="24"/>
                <w:szCs w:val="24"/>
              </w:rPr>
            </w:pPr>
            <w:r w:rsidRPr="00045B4B">
              <w:rPr>
                <w:color w:val="000000" w:themeColor="text1"/>
                <w:sz w:val="24"/>
                <w:szCs w:val="24"/>
              </w:rPr>
              <w:t>Employment Conditions</w:t>
            </w:r>
          </w:p>
        </w:tc>
        <w:tc>
          <w:tcPr>
            <w:tcW w:w="6540" w:type="dxa"/>
            <w:gridSpan w:val="2"/>
          </w:tcPr>
          <w:p w14:paraId="6A5720E9" w14:textId="617B831E" w:rsidR="00BE1A22" w:rsidRPr="00045B4B" w:rsidRDefault="00000000" w:rsidP="00D776BC">
            <w:pPr>
              <w:spacing w:after="120"/>
              <w:jc w:val="both"/>
              <w:rPr>
                <w:rStyle w:val="PlaceholderText"/>
                <w:color w:val="000000" w:themeColor="text1"/>
                <w:sz w:val="24"/>
                <w:szCs w:val="24"/>
              </w:rPr>
            </w:pPr>
            <w:sdt>
              <w:sdtPr>
                <w:rPr>
                  <w:rStyle w:val="PlaceholderText"/>
                  <w:color w:val="000000" w:themeColor="text1"/>
                  <w:sz w:val="24"/>
                  <w:szCs w:val="24"/>
                </w:rPr>
                <w:id w:val="86980238"/>
                <w:placeholder>
                  <w:docPart w:val="04380A1EB9E14BEC8C5C6573D5E2C68E"/>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Content>
                <w:r w:rsidR="009B3E95">
                  <w:rPr>
                    <w:rStyle w:val="PlaceholderText"/>
                    <w:color w:val="000000" w:themeColor="text1"/>
                    <w:sz w:val="24"/>
                    <w:szCs w:val="24"/>
                  </w:rPr>
                  <w:t>Permanent/Fixed-term, Full-time/Part-time</w:t>
                </w:r>
              </w:sdtContent>
            </w:sdt>
          </w:p>
          <w:p w14:paraId="2B966768" w14:textId="5A620E62" w:rsidR="009D6E8A" w:rsidRPr="00045B4B" w:rsidRDefault="009B3E95" w:rsidP="00D776BC">
            <w:pPr>
              <w:spacing w:after="120"/>
              <w:jc w:val="both"/>
              <w:rPr>
                <w:rFonts w:eastAsia="Times New Roman" w:cs="Arial"/>
                <w:color w:val="000000" w:themeColor="text1"/>
                <w:sz w:val="24"/>
                <w:szCs w:val="24"/>
              </w:rPr>
            </w:pPr>
            <w:r>
              <w:rPr>
                <w:rFonts w:eastAsia="Times New Roman" w:cs="Arial"/>
                <w:color w:val="000000" w:themeColor="text1"/>
                <w:sz w:val="24"/>
                <w:szCs w:val="24"/>
              </w:rPr>
              <w:t xml:space="preserve">76 hours per fortnight, </w:t>
            </w:r>
            <w:r w:rsidR="00D2771F" w:rsidRPr="00045B4B">
              <w:rPr>
                <w:rFonts w:eastAsia="Times New Roman" w:cs="Arial"/>
                <w:color w:val="000000" w:themeColor="text1"/>
                <w:sz w:val="24"/>
                <w:szCs w:val="24"/>
              </w:rPr>
              <w:t>5</w:t>
            </w:r>
            <w:r w:rsidR="00DA4347" w:rsidRPr="00045B4B">
              <w:rPr>
                <w:rFonts w:eastAsia="Times New Roman" w:cs="Arial"/>
                <w:color w:val="000000" w:themeColor="text1"/>
                <w:sz w:val="24"/>
                <w:szCs w:val="24"/>
              </w:rPr>
              <w:t>2</w:t>
            </w:r>
            <w:r w:rsidR="00D2771F" w:rsidRPr="00045B4B">
              <w:rPr>
                <w:rFonts w:eastAsia="Times New Roman" w:cs="Arial"/>
                <w:color w:val="000000" w:themeColor="text1"/>
                <w:sz w:val="24"/>
                <w:szCs w:val="24"/>
              </w:rPr>
              <w:t xml:space="preserve"> weeks per year including </w:t>
            </w:r>
            <w:r>
              <w:rPr>
                <w:rFonts w:eastAsia="Times New Roman" w:cs="Arial"/>
                <w:color w:val="000000" w:themeColor="text1"/>
                <w:sz w:val="24"/>
                <w:szCs w:val="24"/>
              </w:rPr>
              <w:t>four</w:t>
            </w:r>
            <w:r w:rsidR="00D2771F" w:rsidRPr="00045B4B">
              <w:rPr>
                <w:rFonts w:eastAsia="Times New Roman" w:cs="Arial"/>
                <w:color w:val="000000" w:themeColor="text1"/>
                <w:sz w:val="24"/>
                <w:szCs w:val="24"/>
              </w:rPr>
              <w:t xml:space="preserve"> weeks annual leave</w:t>
            </w:r>
          </w:p>
        </w:tc>
      </w:tr>
      <w:tr w:rsidR="00D2771F" w14:paraId="288B0B53" w14:textId="77777777" w:rsidTr="00D2771F">
        <w:trPr>
          <w:trHeight w:val="362"/>
        </w:trPr>
        <w:tc>
          <w:tcPr>
            <w:tcW w:w="3152" w:type="dxa"/>
          </w:tcPr>
          <w:p w14:paraId="48571FF8"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Location</w:t>
            </w:r>
          </w:p>
        </w:tc>
        <w:tc>
          <w:tcPr>
            <w:tcW w:w="6540" w:type="dxa"/>
            <w:gridSpan w:val="2"/>
          </w:tcPr>
          <w:p w14:paraId="517249EE" w14:textId="07568011" w:rsidR="00D2771F" w:rsidRPr="00045B4B" w:rsidRDefault="00000000" w:rsidP="00D776BC">
            <w:pPr>
              <w:pStyle w:val="TableBodyText"/>
              <w:spacing w:after="120"/>
              <w:jc w:val="both"/>
              <w:rPr>
                <w:color w:val="000000" w:themeColor="text1"/>
                <w:sz w:val="24"/>
                <w:szCs w:val="24"/>
              </w:rPr>
            </w:pPr>
            <w:sdt>
              <w:sdtPr>
                <w:rPr>
                  <w:rFonts w:eastAsia="Times New Roman"/>
                  <w:color w:val="000000" w:themeColor="text1"/>
                  <w:sz w:val="24"/>
                  <w:szCs w:val="24"/>
                </w:rPr>
                <w:id w:val="-787747809"/>
                <w:placeholder>
                  <w:docPart w:val="4DF1814F6B234DB2B71E661F1189EA9D"/>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DA4347" w:rsidRPr="00045B4B">
                  <w:rPr>
                    <w:rFonts w:eastAsia="Times New Roman"/>
                    <w:color w:val="000000" w:themeColor="text1"/>
                    <w:sz w:val="24"/>
                    <w:szCs w:val="24"/>
                  </w:rPr>
                  <w:t>North</w:t>
                </w:r>
              </w:sdtContent>
            </w:sdt>
            <w:r w:rsidR="008C241C" w:rsidRPr="00045B4B">
              <w:rPr>
                <w:rFonts w:eastAsia="Times New Roman"/>
                <w:color w:val="000000" w:themeColor="text1"/>
                <w:sz w:val="24"/>
                <w:szCs w:val="24"/>
              </w:rPr>
              <w:t xml:space="preserve"> </w:t>
            </w:r>
          </w:p>
        </w:tc>
      </w:tr>
      <w:tr w:rsidR="00D2771F" w14:paraId="5FAC079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93E3D26"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Check Type</w:t>
            </w:r>
          </w:p>
        </w:tc>
        <w:tc>
          <w:tcPr>
            <w:tcW w:w="6540" w:type="dxa"/>
            <w:gridSpan w:val="2"/>
          </w:tcPr>
          <w:p w14:paraId="63BCDE60" w14:textId="69AE52C2" w:rsidR="00D2771F" w:rsidRPr="00045B4B" w:rsidRDefault="00000000" w:rsidP="00D776BC">
            <w:pPr>
              <w:pStyle w:val="TableBodyText"/>
              <w:spacing w:after="120"/>
              <w:jc w:val="both"/>
              <w:rPr>
                <w:color w:val="000000" w:themeColor="text1"/>
                <w:sz w:val="24"/>
                <w:szCs w:val="24"/>
              </w:rPr>
            </w:pPr>
            <w:sdt>
              <w:sdtPr>
                <w:rPr>
                  <w:rFonts w:eastAsia="Times New Roman"/>
                  <w:color w:val="000000" w:themeColor="text1"/>
                  <w:sz w:val="24"/>
                  <w:szCs w:val="24"/>
                </w:rPr>
                <w:id w:val="331334461"/>
                <w:placeholder>
                  <w:docPart w:val="ED56CE5E59914501A54A7EA48E8F76B4"/>
                </w:placeholder>
                <w:dropDownList>
                  <w:listItem w:value="Choose an item."/>
                  <w:listItem w:displayText="Annulled" w:value="Annulled"/>
                  <w:listItem w:displayText="Schedule 1" w:value="Schedule 1"/>
                </w:dropDownList>
              </w:sdtPr>
              <w:sdtContent>
                <w:r w:rsidR="00DA4347" w:rsidRPr="00045B4B">
                  <w:rPr>
                    <w:rFonts w:eastAsia="Times New Roman"/>
                    <w:color w:val="000000" w:themeColor="text1"/>
                    <w:sz w:val="24"/>
                    <w:szCs w:val="24"/>
                  </w:rPr>
                  <w:t>Schedule 1</w:t>
                </w:r>
              </w:sdtContent>
            </w:sdt>
          </w:p>
        </w:tc>
      </w:tr>
      <w:tr w:rsidR="00D2771F" w14:paraId="4526C4EF" w14:textId="77777777" w:rsidTr="00D2771F">
        <w:trPr>
          <w:trHeight w:val="362"/>
        </w:trPr>
        <w:tc>
          <w:tcPr>
            <w:tcW w:w="3152" w:type="dxa"/>
          </w:tcPr>
          <w:p w14:paraId="65AB9886" w14:textId="77777777" w:rsidR="00D2771F" w:rsidRPr="00045B4B" w:rsidRDefault="00D2771F" w:rsidP="00D776BC">
            <w:pPr>
              <w:pStyle w:val="TableBodyText"/>
              <w:spacing w:after="120"/>
              <w:jc w:val="both"/>
              <w:rPr>
                <w:color w:val="000000" w:themeColor="text1"/>
                <w:sz w:val="24"/>
                <w:szCs w:val="24"/>
              </w:rPr>
            </w:pPr>
            <w:r w:rsidRPr="00045B4B">
              <w:rPr>
                <w:color w:val="000000" w:themeColor="text1"/>
                <w:sz w:val="24"/>
                <w:szCs w:val="24"/>
              </w:rPr>
              <w:t>Check Frequency</w:t>
            </w:r>
          </w:p>
        </w:tc>
        <w:tc>
          <w:tcPr>
            <w:tcW w:w="6540" w:type="dxa"/>
            <w:gridSpan w:val="2"/>
          </w:tcPr>
          <w:p w14:paraId="03072BC5" w14:textId="798EF823" w:rsidR="00D2771F" w:rsidRPr="00045B4B" w:rsidRDefault="00000000" w:rsidP="00D776BC">
            <w:pPr>
              <w:pStyle w:val="TableBodyText"/>
              <w:spacing w:after="120"/>
              <w:jc w:val="both"/>
              <w:rPr>
                <w:rFonts w:eastAsia="Times New Roman"/>
                <w:color w:val="000000" w:themeColor="text1"/>
                <w:sz w:val="24"/>
                <w:szCs w:val="24"/>
              </w:rPr>
            </w:pPr>
            <w:sdt>
              <w:sdtPr>
                <w:rPr>
                  <w:rFonts w:eastAsia="Times New Roman"/>
                  <w:color w:val="000000" w:themeColor="text1"/>
                  <w:sz w:val="24"/>
                  <w:szCs w:val="24"/>
                </w:rPr>
                <w:id w:val="2123720829"/>
                <w:placeholder>
                  <w:docPart w:val="ED56CE5E59914501A54A7EA48E8F76B4"/>
                </w:placeholder>
                <w:dropDownList>
                  <w:listItem w:value="Choose an item."/>
                  <w:listItem w:displayText="Pre-employment" w:value="Pre-employment"/>
                  <w:listItem w:displayText="Pre-employment and Recurrent" w:value="Pre-employment and Recurrent"/>
                </w:dropDownList>
              </w:sdtPr>
              <w:sdtContent>
                <w:r w:rsidR="00DA4347" w:rsidRPr="00045B4B">
                  <w:rPr>
                    <w:rFonts w:eastAsia="Times New Roman"/>
                    <w:color w:val="000000" w:themeColor="text1"/>
                    <w:sz w:val="24"/>
                    <w:szCs w:val="24"/>
                  </w:rPr>
                  <w:t>Pre-employment</w:t>
                </w:r>
              </w:sdtContent>
            </w:sdt>
            <w:r w:rsidR="008C241C" w:rsidRPr="00045B4B">
              <w:rPr>
                <w:rFonts w:eastAsia="Times New Roman"/>
                <w:color w:val="000000" w:themeColor="text1"/>
                <w:sz w:val="24"/>
                <w:szCs w:val="24"/>
              </w:rPr>
              <w:t xml:space="preserve"> </w:t>
            </w:r>
          </w:p>
        </w:tc>
      </w:tr>
    </w:tbl>
    <w:p w14:paraId="7B5DF0A5" w14:textId="77777777" w:rsidR="00D2771F" w:rsidRDefault="00D2771F" w:rsidP="00D776BC">
      <w:pPr>
        <w:pStyle w:val="Heading2"/>
        <w:spacing w:line="288" w:lineRule="auto"/>
        <w:jc w:val="both"/>
      </w:pPr>
      <w:r>
        <w:t>Context</w:t>
      </w:r>
    </w:p>
    <w:p w14:paraId="04B5B547" w14:textId="77777777" w:rsidR="0079188F" w:rsidRPr="0079188F" w:rsidRDefault="0079188F" w:rsidP="00D776BC">
      <w:pPr>
        <w:jc w:val="both"/>
        <w:rPr>
          <w:rFonts w:eastAsia="Times New Roman"/>
          <w:color w:val="000000" w:themeColor="text1"/>
          <w:sz w:val="24"/>
          <w:szCs w:val="24"/>
        </w:rPr>
      </w:pPr>
      <w:r w:rsidRPr="0079188F">
        <w:rPr>
          <w:rFonts w:eastAsia="Times New Roman"/>
          <w:color w:val="000000" w:themeColor="text1"/>
          <w:sz w:val="24"/>
          <w:szCs w:val="24"/>
        </w:rPr>
        <w:t xml:space="preserve">The Services for Youth Justice division works directly with children, young people, families and carers to prevent, divert or support their involvement in the youth justice system. The youth justice service system comprises of a set of processes and practices for responding to children and young people who have committed, or allegedly committed, an offence. It deals primarily with young people aged 10–17 at the time of the offence. </w:t>
      </w:r>
    </w:p>
    <w:p w14:paraId="0044689E" w14:textId="77777777" w:rsidR="00794D87" w:rsidRDefault="00794D87">
      <w:pPr>
        <w:rPr>
          <w:rFonts w:eastAsia="Times New Roman"/>
          <w:color w:val="000000" w:themeColor="text1"/>
          <w:sz w:val="24"/>
          <w:szCs w:val="24"/>
        </w:rPr>
      </w:pPr>
      <w:r>
        <w:rPr>
          <w:rFonts w:eastAsia="Times New Roman"/>
          <w:color w:val="000000" w:themeColor="text1"/>
          <w:sz w:val="24"/>
          <w:szCs w:val="24"/>
        </w:rPr>
        <w:br w:type="page"/>
      </w:r>
    </w:p>
    <w:p w14:paraId="5DE5E965" w14:textId="5B6E2E6B" w:rsidR="00D2771F" w:rsidRDefault="0079188F" w:rsidP="00D776BC">
      <w:pPr>
        <w:jc w:val="both"/>
      </w:pPr>
      <w:r w:rsidRPr="0079188F">
        <w:rPr>
          <w:rFonts w:eastAsia="Times New Roman"/>
          <w:color w:val="000000" w:themeColor="text1"/>
          <w:sz w:val="24"/>
          <w:szCs w:val="24"/>
        </w:rPr>
        <w:lastRenderedPageBreak/>
        <w:t>Services for Youth Justice includes three main streams of work: Community Youth Justice, Ashley Youth Detention Centre and the Youth Justice Reform Project. The Ashley Youth Detention Centre (AYDC) provides secure care and custody for young people aged 10-17 who are detained or remanded by the courts.</w:t>
      </w:r>
    </w:p>
    <w:p w14:paraId="5837A07B" w14:textId="77777777" w:rsidR="009D6E8A" w:rsidRPr="00190B67" w:rsidRDefault="009D6E8A" w:rsidP="00D776BC">
      <w:pPr>
        <w:pStyle w:val="Heading2"/>
        <w:spacing w:line="288" w:lineRule="auto"/>
        <w:jc w:val="both"/>
      </w:pPr>
      <w:r w:rsidRPr="00190B67">
        <w:t>Primary Purpose</w:t>
      </w:r>
    </w:p>
    <w:p w14:paraId="03AD1FFD" w14:textId="76DBE8A8" w:rsidR="000D6799" w:rsidRPr="00D776BC" w:rsidRDefault="000D6799" w:rsidP="00D776BC">
      <w:pPr>
        <w:jc w:val="both"/>
        <w:rPr>
          <w:rFonts w:eastAsia="Times New Roman"/>
          <w:sz w:val="24"/>
          <w:szCs w:val="24"/>
        </w:rPr>
      </w:pPr>
      <w:r w:rsidRPr="00D776BC">
        <w:rPr>
          <w:rFonts w:eastAsia="Times New Roman"/>
          <w:sz w:val="24"/>
          <w:szCs w:val="24"/>
        </w:rPr>
        <w:t>The Case Conferencing Facilitator will work as part of the team at Ashley Youth Detention Centre (AYDC), with the primary function coordinate all aspects of the Centre’s conferencing processes for young people in custody, ensuring compliance with relevant legislative and procedural provisions. The position also involves assisting in the delivery of comprehensive, consistent, and coordinated services that support the reintegration of detained youth into the community. Additionally, the role contributes to the development, establishment, and maintenance of effective case management systems, processes, and procedures tailored to the needs of young people in custody.</w:t>
      </w:r>
    </w:p>
    <w:p w14:paraId="5061FE2F" w14:textId="77777777" w:rsidR="009D6E8A" w:rsidRPr="00190B67" w:rsidRDefault="009D6E8A" w:rsidP="00D776BC">
      <w:pPr>
        <w:pStyle w:val="Heading2"/>
        <w:spacing w:before="120" w:line="288" w:lineRule="auto"/>
        <w:jc w:val="both"/>
        <w:rPr>
          <w:color w:val="011947"/>
        </w:rPr>
      </w:pPr>
      <w:r w:rsidRPr="00190B67">
        <w:rPr>
          <w:color w:val="011947"/>
        </w:rPr>
        <w:t>Level of Responsibility/Direction and Supervision</w:t>
      </w:r>
    </w:p>
    <w:p w14:paraId="2C6B3931" w14:textId="53125401" w:rsidR="00C61113" w:rsidRPr="00D776BC" w:rsidRDefault="00C61113" w:rsidP="00D776BC">
      <w:pPr>
        <w:jc w:val="both"/>
        <w:rPr>
          <w:rFonts w:eastAsia="Times New Roman"/>
          <w:sz w:val="24"/>
          <w:szCs w:val="24"/>
        </w:rPr>
      </w:pPr>
      <w:bookmarkStart w:id="1" w:name="_Hlk127543251"/>
      <w:r w:rsidRPr="00D776BC">
        <w:rPr>
          <w:rFonts w:eastAsia="Times New Roman"/>
          <w:sz w:val="24"/>
          <w:szCs w:val="24"/>
        </w:rPr>
        <w:t xml:space="preserve">This position </w:t>
      </w:r>
      <w:r w:rsidR="00341FDD" w:rsidRPr="00D776BC">
        <w:rPr>
          <w:rFonts w:eastAsia="Times New Roman"/>
          <w:sz w:val="24"/>
          <w:szCs w:val="24"/>
        </w:rPr>
        <w:t>works under the direction</w:t>
      </w:r>
      <w:r w:rsidRPr="00D776BC">
        <w:rPr>
          <w:rFonts w:eastAsia="Times New Roman"/>
          <w:sz w:val="24"/>
          <w:szCs w:val="24"/>
        </w:rPr>
        <w:t xml:space="preserve"> the Manager Professional Services and Policy and will report to the AYDC Executive Management Team as required.</w:t>
      </w:r>
      <w:r w:rsidR="009B3E95" w:rsidRPr="00D776BC">
        <w:rPr>
          <w:rFonts w:eastAsia="Times New Roman"/>
          <w:sz w:val="24"/>
          <w:szCs w:val="24"/>
        </w:rPr>
        <w:t xml:space="preserve"> The occupant will be r</w:t>
      </w:r>
      <w:r w:rsidRPr="00D776BC">
        <w:rPr>
          <w:rFonts w:eastAsia="Times New Roman"/>
          <w:sz w:val="24"/>
          <w:szCs w:val="24"/>
        </w:rPr>
        <w:t>esponsible for the provision of conferencing processes and assisting with case management services for young persons in detention as required.</w:t>
      </w:r>
      <w:r w:rsidR="009B3E95" w:rsidRPr="00D776BC">
        <w:rPr>
          <w:rFonts w:eastAsia="Times New Roman"/>
          <w:sz w:val="24"/>
          <w:szCs w:val="24"/>
        </w:rPr>
        <w:t xml:space="preserve"> Additionally,</w:t>
      </w:r>
      <w:r w:rsidRPr="00D776BC">
        <w:rPr>
          <w:rFonts w:eastAsia="Times New Roman"/>
          <w:sz w:val="24"/>
          <w:szCs w:val="24"/>
        </w:rPr>
        <w:t xml:space="preserve"> </w:t>
      </w:r>
      <w:r w:rsidR="009B3E95" w:rsidRPr="00D776BC">
        <w:rPr>
          <w:rFonts w:eastAsia="Times New Roman"/>
          <w:sz w:val="24"/>
          <w:szCs w:val="24"/>
        </w:rPr>
        <w:t>t</w:t>
      </w:r>
      <w:r w:rsidRPr="00D776BC">
        <w:rPr>
          <w:rFonts w:eastAsia="Times New Roman"/>
          <w:sz w:val="24"/>
          <w:szCs w:val="24"/>
        </w:rPr>
        <w:t>he occupant will be required to exercise judgment and initiative consistent with the possession of sound knowledge in this area.</w:t>
      </w:r>
    </w:p>
    <w:p w14:paraId="4054B739" w14:textId="77777777" w:rsidR="00D2771F" w:rsidRPr="00B732A4" w:rsidRDefault="00D2771F" w:rsidP="00D776BC">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0D05CC5E" w14:textId="77777777" w:rsidR="00D2771F" w:rsidRPr="00611319" w:rsidRDefault="00D2771F" w:rsidP="00D776BC">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27DF0A4" w14:textId="77777777" w:rsidR="00D2771F" w:rsidRPr="00611319" w:rsidRDefault="00D2771F" w:rsidP="00D776BC">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32FAAF0C" w14:textId="77777777" w:rsidR="00794D87" w:rsidRDefault="00794D87">
      <w:pPr>
        <w:rPr>
          <w:rFonts w:asciiTheme="majorHAnsi" w:eastAsiaTheme="majorEastAsia" w:hAnsiTheme="majorHAnsi" w:cstheme="majorBidi"/>
          <w:color w:val="011947"/>
          <w:sz w:val="32"/>
          <w:szCs w:val="26"/>
        </w:rPr>
      </w:pPr>
      <w:r>
        <w:rPr>
          <w:color w:val="011947"/>
        </w:rPr>
        <w:br w:type="page"/>
      </w:r>
    </w:p>
    <w:p w14:paraId="5DBACB93" w14:textId="2CF7A17B" w:rsidR="001733FD" w:rsidRDefault="009D6E8A" w:rsidP="00D776BC">
      <w:pPr>
        <w:pStyle w:val="Heading2"/>
        <w:spacing w:line="288" w:lineRule="auto"/>
        <w:jc w:val="both"/>
        <w:rPr>
          <w:color w:val="011947"/>
        </w:rPr>
      </w:pPr>
      <w:r w:rsidRPr="00190B67">
        <w:rPr>
          <w:color w:val="011947"/>
        </w:rPr>
        <w:lastRenderedPageBreak/>
        <w:t>Primary Duties</w:t>
      </w:r>
    </w:p>
    <w:p w14:paraId="1AEF2255" w14:textId="77777777" w:rsidR="00D2771F" w:rsidRDefault="00D2771F" w:rsidP="00D776BC">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1A914B81" wp14:editId="530A50EE">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187F0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538C854" w14:textId="77777777" w:rsidR="009A76A9" w:rsidRPr="00304510" w:rsidRDefault="009A76A9" w:rsidP="00D776BC">
      <w:pPr>
        <w:numPr>
          <w:ilvl w:val="0"/>
          <w:numId w:val="32"/>
        </w:numPr>
        <w:jc w:val="both"/>
        <w:rPr>
          <w:rFonts w:asciiTheme="majorHAnsi" w:hAnsiTheme="majorHAnsi" w:cstheme="majorHAnsi"/>
          <w:sz w:val="24"/>
          <w:szCs w:val="24"/>
        </w:rPr>
      </w:pPr>
      <w:r w:rsidRPr="00304510">
        <w:rPr>
          <w:rFonts w:asciiTheme="majorHAnsi" w:hAnsiTheme="majorHAnsi" w:cstheme="majorHAnsi"/>
          <w:sz w:val="24"/>
          <w:szCs w:val="24"/>
        </w:rPr>
        <w:t>Coordinate, facilitate and evaluate the AYDC conferencing process for young people in custody.</w:t>
      </w:r>
    </w:p>
    <w:p w14:paraId="1E6A30C9" w14:textId="77777777" w:rsidR="009A76A9" w:rsidRPr="00304510" w:rsidRDefault="009A76A9" w:rsidP="00D776BC">
      <w:pPr>
        <w:numPr>
          <w:ilvl w:val="0"/>
          <w:numId w:val="32"/>
        </w:numPr>
        <w:jc w:val="both"/>
        <w:rPr>
          <w:rFonts w:asciiTheme="majorHAnsi" w:hAnsiTheme="majorHAnsi" w:cstheme="majorHAnsi"/>
          <w:sz w:val="24"/>
          <w:szCs w:val="24"/>
          <w:lang w:val="en-US"/>
        </w:rPr>
      </w:pPr>
      <w:r w:rsidRPr="00304510">
        <w:rPr>
          <w:rFonts w:asciiTheme="majorHAnsi" w:hAnsiTheme="majorHAnsi" w:cstheme="majorHAnsi"/>
          <w:sz w:val="24"/>
          <w:szCs w:val="24"/>
        </w:rPr>
        <w:t>Establish and maintain effective communication and information systems to support and enhance the AYDC conferencing process.</w:t>
      </w:r>
    </w:p>
    <w:p w14:paraId="6ADE42A5" w14:textId="012D8927" w:rsidR="009A76A9" w:rsidRPr="00304510" w:rsidRDefault="009A76A9" w:rsidP="00D776BC">
      <w:pPr>
        <w:numPr>
          <w:ilvl w:val="0"/>
          <w:numId w:val="32"/>
        </w:numPr>
        <w:jc w:val="both"/>
        <w:rPr>
          <w:rFonts w:asciiTheme="majorHAnsi" w:hAnsiTheme="majorHAnsi" w:cstheme="majorHAnsi"/>
          <w:sz w:val="24"/>
          <w:szCs w:val="24"/>
        </w:rPr>
      </w:pPr>
      <w:r w:rsidRPr="00304510">
        <w:rPr>
          <w:rFonts w:asciiTheme="majorHAnsi" w:hAnsiTheme="majorHAnsi" w:cstheme="majorHAnsi"/>
          <w:sz w:val="24"/>
          <w:szCs w:val="24"/>
        </w:rPr>
        <w:t xml:space="preserve">Provide advice and support for key stakeholders in Youth Justice, Children and Youth Services, the Department of Health and Human Services, professional organisations, non-government organisations, voluntary groups and clients </w:t>
      </w:r>
      <w:r w:rsidR="00341FDD" w:rsidRPr="00304510">
        <w:rPr>
          <w:rFonts w:asciiTheme="majorHAnsi" w:hAnsiTheme="majorHAnsi" w:cstheme="majorHAnsi"/>
          <w:sz w:val="24"/>
          <w:szCs w:val="24"/>
        </w:rPr>
        <w:t>about</w:t>
      </w:r>
      <w:r w:rsidRPr="00304510">
        <w:rPr>
          <w:rFonts w:asciiTheme="majorHAnsi" w:hAnsiTheme="majorHAnsi" w:cstheme="majorHAnsi"/>
          <w:sz w:val="24"/>
          <w:szCs w:val="24"/>
        </w:rPr>
        <w:t xml:space="preserve"> conferencing.</w:t>
      </w:r>
    </w:p>
    <w:p w14:paraId="6BAF938C" w14:textId="77777777" w:rsidR="009A76A9" w:rsidRPr="00304510" w:rsidRDefault="009A76A9" w:rsidP="00D776BC">
      <w:pPr>
        <w:numPr>
          <w:ilvl w:val="0"/>
          <w:numId w:val="32"/>
        </w:numPr>
        <w:jc w:val="both"/>
        <w:rPr>
          <w:rFonts w:asciiTheme="majorHAnsi" w:hAnsiTheme="majorHAnsi" w:cstheme="majorHAnsi"/>
          <w:sz w:val="24"/>
          <w:szCs w:val="24"/>
        </w:rPr>
      </w:pPr>
      <w:r w:rsidRPr="00304510">
        <w:rPr>
          <w:rFonts w:asciiTheme="majorHAnsi" w:hAnsiTheme="majorHAnsi" w:cstheme="majorHAnsi"/>
          <w:sz w:val="24"/>
          <w:szCs w:val="24"/>
        </w:rPr>
        <w:t>Identify resources to meet the individual needs of detainees identified through the conferencing process and in accordance with individual case management plans and strategies.</w:t>
      </w:r>
    </w:p>
    <w:p w14:paraId="49BC595F" w14:textId="77777777" w:rsidR="009A76A9" w:rsidRPr="00304510" w:rsidRDefault="009A76A9" w:rsidP="00D776BC">
      <w:pPr>
        <w:pStyle w:val="BodyText"/>
        <w:numPr>
          <w:ilvl w:val="0"/>
          <w:numId w:val="32"/>
        </w:numPr>
        <w:spacing w:after="120" w:line="288" w:lineRule="auto"/>
        <w:rPr>
          <w:rFonts w:asciiTheme="majorHAnsi" w:hAnsiTheme="majorHAnsi" w:cstheme="majorHAnsi"/>
          <w:sz w:val="24"/>
          <w:szCs w:val="24"/>
        </w:rPr>
      </w:pPr>
      <w:r w:rsidRPr="00304510">
        <w:rPr>
          <w:rFonts w:asciiTheme="majorHAnsi" w:hAnsiTheme="majorHAnsi" w:cstheme="majorHAnsi"/>
          <w:sz w:val="24"/>
          <w:szCs w:val="24"/>
        </w:rPr>
        <w:t>Support and participate in AYDC case management processes.</w:t>
      </w:r>
    </w:p>
    <w:p w14:paraId="59BD608F" w14:textId="1CF94EC7" w:rsidR="009A76A9" w:rsidRPr="00304510" w:rsidRDefault="009A76A9" w:rsidP="00D776BC">
      <w:pPr>
        <w:numPr>
          <w:ilvl w:val="0"/>
          <w:numId w:val="32"/>
        </w:numPr>
        <w:jc w:val="both"/>
        <w:rPr>
          <w:rFonts w:asciiTheme="majorHAnsi" w:hAnsiTheme="majorHAnsi" w:cstheme="majorHAnsi"/>
          <w:sz w:val="24"/>
          <w:szCs w:val="24"/>
        </w:rPr>
      </w:pPr>
      <w:r w:rsidRPr="00304510">
        <w:rPr>
          <w:rFonts w:asciiTheme="majorHAnsi" w:hAnsiTheme="majorHAnsi" w:cstheme="majorHAnsi"/>
          <w:sz w:val="24"/>
          <w:szCs w:val="24"/>
        </w:rPr>
        <w:t>As a member of the Professional Services team, contribute to the development, implementation and evaluation of policy, procedures and practices, consistent with national standards, as required.</w:t>
      </w:r>
    </w:p>
    <w:p w14:paraId="512E3FFD" w14:textId="77777777" w:rsidR="009A76A9" w:rsidRPr="00304510" w:rsidRDefault="009A76A9" w:rsidP="00D776BC">
      <w:pPr>
        <w:numPr>
          <w:ilvl w:val="0"/>
          <w:numId w:val="32"/>
        </w:numPr>
        <w:jc w:val="both"/>
        <w:rPr>
          <w:rFonts w:asciiTheme="majorHAnsi" w:hAnsiTheme="majorHAnsi" w:cstheme="majorHAnsi"/>
          <w:sz w:val="24"/>
          <w:szCs w:val="24"/>
        </w:rPr>
      </w:pPr>
      <w:r w:rsidRPr="00304510">
        <w:rPr>
          <w:rFonts w:asciiTheme="majorHAnsi" w:hAnsiTheme="majorHAnsi" w:cstheme="majorHAnsi"/>
          <w:sz w:val="24"/>
          <w:szCs w:val="24"/>
        </w:rPr>
        <w:t>Research and maintain knowledge of current and emerging trends and practices concerning conferencing, youth detention and the delivery of case management services to young people in detention.</w:t>
      </w:r>
    </w:p>
    <w:p w14:paraId="7659B848" w14:textId="77777777" w:rsidR="009A76A9" w:rsidRPr="00304510" w:rsidRDefault="009A76A9" w:rsidP="00D776BC">
      <w:pPr>
        <w:pStyle w:val="NumberedList"/>
        <w:numPr>
          <w:ilvl w:val="0"/>
          <w:numId w:val="32"/>
        </w:numPr>
        <w:spacing w:after="120" w:line="288" w:lineRule="auto"/>
        <w:rPr>
          <w:rFonts w:asciiTheme="majorHAnsi" w:hAnsiTheme="majorHAnsi" w:cstheme="majorHAnsi"/>
          <w:szCs w:val="24"/>
        </w:rPr>
      </w:pPr>
      <w:r w:rsidRPr="00304510">
        <w:rPr>
          <w:rFonts w:asciiTheme="majorHAnsi" w:hAnsiTheme="majorHAnsi" w:cstheme="majorHAnsi"/>
          <w:szCs w:val="24"/>
        </w:rP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p>
    <w:p w14:paraId="18841E78" w14:textId="77777777" w:rsidR="00D2771F" w:rsidRPr="00B732A4" w:rsidRDefault="00D2771F" w:rsidP="00D776BC">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F9195D2" w14:textId="77777777" w:rsidR="00D2771F" w:rsidRPr="003A0A35" w:rsidRDefault="00D2771F" w:rsidP="00D776BC">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30379E3" w14:textId="77777777" w:rsidR="00794D87" w:rsidRDefault="00794D87">
      <w:pPr>
        <w:rPr>
          <w:rFonts w:asciiTheme="majorHAnsi" w:eastAsiaTheme="majorEastAsia" w:hAnsiTheme="majorHAnsi" w:cstheme="majorBidi"/>
          <w:color w:val="011947"/>
          <w:sz w:val="32"/>
          <w:szCs w:val="26"/>
        </w:rPr>
      </w:pPr>
      <w:r>
        <w:rPr>
          <w:color w:val="011947"/>
        </w:rPr>
        <w:br w:type="page"/>
      </w:r>
    </w:p>
    <w:p w14:paraId="2F2D63EB" w14:textId="561A1E26" w:rsidR="009D6E8A" w:rsidRPr="00190B67" w:rsidRDefault="009D6E8A" w:rsidP="00D776BC">
      <w:pPr>
        <w:pStyle w:val="Heading2"/>
        <w:spacing w:line="288" w:lineRule="auto"/>
        <w:jc w:val="both"/>
        <w:rPr>
          <w:color w:val="011947"/>
        </w:rPr>
      </w:pPr>
      <w:r w:rsidRPr="00190B67">
        <w:rPr>
          <w:color w:val="011947"/>
        </w:rPr>
        <w:lastRenderedPageBreak/>
        <w:t>Selection Criteria</w:t>
      </w:r>
    </w:p>
    <w:p w14:paraId="7B5F04E9" w14:textId="77777777" w:rsidR="00D2771F" w:rsidRPr="003A0A35" w:rsidRDefault="00D2771F" w:rsidP="00D776BC">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74C56FC" w14:textId="77777777" w:rsidR="00D2771F" w:rsidRPr="003A0A35" w:rsidRDefault="00D2771F" w:rsidP="00D776BC">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DCF95B9" wp14:editId="2FAFBD30">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2333E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7987D89" w14:textId="0362F21E" w:rsidR="00341FDD" w:rsidRPr="00304510" w:rsidRDefault="00C002D3" w:rsidP="00D776BC">
      <w:pPr>
        <w:numPr>
          <w:ilvl w:val="0"/>
          <w:numId w:val="33"/>
        </w:numPr>
        <w:jc w:val="both"/>
        <w:rPr>
          <w:rFonts w:asciiTheme="majorHAnsi" w:hAnsiTheme="majorHAnsi" w:cstheme="majorHAnsi"/>
          <w:sz w:val="24"/>
          <w:szCs w:val="24"/>
        </w:rPr>
      </w:pPr>
      <w:r w:rsidRPr="0008115E">
        <w:rPr>
          <w:rFonts w:asciiTheme="majorHAnsi" w:hAnsiTheme="majorHAnsi" w:cstheme="majorHAnsi"/>
          <w:sz w:val="24"/>
          <w:szCs w:val="24"/>
        </w:rPr>
        <w:t xml:space="preserve">Significant post graduate experience in social work and youth justice, </w:t>
      </w:r>
      <w:r w:rsidR="0008115E" w:rsidRPr="0008115E">
        <w:rPr>
          <w:rFonts w:asciiTheme="majorHAnsi" w:hAnsiTheme="majorHAnsi" w:cstheme="majorHAnsi"/>
          <w:sz w:val="24"/>
          <w:szCs w:val="24"/>
        </w:rPr>
        <w:t xml:space="preserve">along with </w:t>
      </w:r>
      <w:r w:rsidR="0008115E">
        <w:rPr>
          <w:rFonts w:asciiTheme="majorHAnsi" w:hAnsiTheme="majorHAnsi" w:cstheme="majorHAnsi"/>
          <w:sz w:val="24"/>
          <w:szCs w:val="24"/>
        </w:rPr>
        <w:t>demonstrated experience in conferencing young people and adults regarding a range of ussies including difficult behaviour and/or conflict solutions</w:t>
      </w:r>
    </w:p>
    <w:p w14:paraId="2A72525F" w14:textId="4D4B5F85" w:rsidR="00C002D3" w:rsidRPr="00304510" w:rsidRDefault="00C002D3" w:rsidP="00D776BC">
      <w:pPr>
        <w:numPr>
          <w:ilvl w:val="0"/>
          <w:numId w:val="33"/>
        </w:numPr>
        <w:jc w:val="both"/>
        <w:rPr>
          <w:rFonts w:asciiTheme="majorHAnsi" w:hAnsiTheme="majorHAnsi" w:cstheme="majorHAnsi"/>
          <w:sz w:val="24"/>
          <w:szCs w:val="24"/>
        </w:rPr>
      </w:pPr>
      <w:r w:rsidRPr="00304510">
        <w:rPr>
          <w:rFonts w:asciiTheme="majorHAnsi" w:hAnsiTheme="majorHAnsi" w:cstheme="majorHAnsi"/>
          <w:sz w:val="24"/>
          <w:szCs w:val="24"/>
        </w:rPr>
        <w:t>Demonstrated knowledge of contemporary issues, practices and trends in respect to services for young people who have offended and their families; together with a sensitivity toward and capacity for working closely with young people in detention.</w:t>
      </w:r>
    </w:p>
    <w:p w14:paraId="7ECEDA5A" w14:textId="77777777" w:rsidR="00C002D3" w:rsidRPr="00304510" w:rsidRDefault="00C002D3" w:rsidP="00D776BC">
      <w:pPr>
        <w:numPr>
          <w:ilvl w:val="0"/>
          <w:numId w:val="33"/>
        </w:numPr>
        <w:jc w:val="both"/>
        <w:rPr>
          <w:rFonts w:asciiTheme="majorHAnsi" w:hAnsiTheme="majorHAnsi" w:cstheme="majorHAnsi"/>
          <w:sz w:val="24"/>
          <w:szCs w:val="24"/>
        </w:rPr>
      </w:pPr>
      <w:r w:rsidRPr="00304510">
        <w:rPr>
          <w:rFonts w:asciiTheme="majorHAnsi" w:hAnsiTheme="majorHAnsi" w:cstheme="majorHAnsi"/>
          <w:color w:val="000000"/>
          <w:sz w:val="24"/>
          <w:szCs w:val="24"/>
        </w:rPr>
        <w:t>Demonstrated knowledge</w:t>
      </w:r>
      <w:r w:rsidRPr="00304510">
        <w:rPr>
          <w:rFonts w:asciiTheme="majorHAnsi" w:hAnsiTheme="majorHAnsi" w:cstheme="majorHAnsi"/>
          <w:b/>
          <w:color w:val="000000"/>
          <w:sz w:val="24"/>
          <w:szCs w:val="24"/>
        </w:rPr>
        <w:t xml:space="preserve"> </w:t>
      </w:r>
      <w:r w:rsidRPr="00304510">
        <w:rPr>
          <w:rFonts w:asciiTheme="majorHAnsi" w:hAnsiTheme="majorHAnsi" w:cstheme="majorHAnsi"/>
          <w:color w:val="000000"/>
          <w:sz w:val="24"/>
          <w:szCs w:val="24"/>
        </w:rPr>
        <w:t xml:space="preserve">of the </w:t>
      </w:r>
      <w:r w:rsidRPr="00304510">
        <w:rPr>
          <w:rFonts w:asciiTheme="majorHAnsi" w:hAnsiTheme="majorHAnsi" w:cstheme="majorHAnsi"/>
          <w:i/>
          <w:iCs/>
          <w:color w:val="000000"/>
          <w:sz w:val="24"/>
          <w:szCs w:val="24"/>
        </w:rPr>
        <w:t>Youth Justice Act 1997</w:t>
      </w:r>
      <w:r w:rsidRPr="00304510">
        <w:rPr>
          <w:rFonts w:asciiTheme="majorHAnsi" w:hAnsiTheme="majorHAnsi" w:cstheme="majorHAnsi"/>
          <w:color w:val="000000"/>
          <w:sz w:val="24"/>
          <w:szCs w:val="24"/>
        </w:rPr>
        <w:t>, other relevant legislation and</w:t>
      </w:r>
      <w:r w:rsidRPr="00304510">
        <w:rPr>
          <w:rFonts w:asciiTheme="majorHAnsi" w:hAnsiTheme="majorHAnsi" w:cstheme="majorHAnsi"/>
          <w:sz w:val="24"/>
          <w:szCs w:val="24"/>
        </w:rPr>
        <w:t xml:space="preserve"> national standards or the ability to acquire such knowledge.</w:t>
      </w:r>
    </w:p>
    <w:p w14:paraId="609BB8B6" w14:textId="2A5BEBF6" w:rsidR="00C002D3" w:rsidRPr="00304510" w:rsidRDefault="00C002D3" w:rsidP="00D776BC">
      <w:pPr>
        <w:numPr>
          <w:ilvl w:val="0"/>
          <w:numId w:val="33"/>
        </w:numPr>
        <w:jc w:val="both"/>
        <w:rPr>
          <w:rFonts w:asciiTheme="majorHAnsi" w:hAnsiTheme="majorHAnsi" w:cstheme="majorHAnsi"/>
          <w:sz w:val="24"/>
          <w:szCs w:val="24"/>
        </w:rPr>
      </w:pPr>
      <w:r w:rsidRPr="00304510">
        <w:rPr>
          <w:rFonts w:asciiTheme="majorHAnsi" w:hAnsiTheme="majorHAnsi" w:cstheme="majorHAnsi"/>
          <w:color w:val="000000"/>
          <w:sz w:val="24"/>
          <w:szCs w:val="24"/>
        </w:rPr>
        <w:t xml:space="preserve">A high level of interpersonal and </w:t>
      </w:r>
      <w:r w:rsidR="00341FDD" w:rsidRPr="00304510">
        <w:rPr>
          <w:rFonts w:asciiTheme="majorHAnsi" w:hAnsiTheme="majorHAnsi" w:cstheme="majorHAnsi"/>
          <w:color w:val="000000"/>
          <w:sz w:val="24"/>
          <w:szCs w:val="24"/>
        </w:rPr>
        <w:t>problem-solving</w:t>
      </w:r>
      <w:r w:rsidRPr="00304510">
        <w:rPr>
          <w:rFonts w:asciiTheme="majorHAnsi" w:hAnsiTheme="majorHAnsi" w:cstheme="majorHAnsi"/>
          <w:color w:val="000000"/>
          <w:sz w:val="24"/>
          <w:szCs w:val="24"/>
        </w:rPr>
        <w:t xml:space="preserve"> skills including the ability to liaise with a wide range of clients, including demonstrated effective aggression management and conflict resolution techniques such as active listening, defusing, negotiation and debriefing.</w:t>
      </w:r>
    </w:p>
    <w:p w14:paraId="510A0E6F" w14:textId="77777777" w:rsidR="00C002D3" w:rsidRPr="00304510" w:rsidRDefault="00C002D3" w:rsidP="00D776BC">
      <w:pPr>
        <w:numPr>
          <w:ilvl w:val="0"/>
          <w:numId w:val="33"/>
        </w:numPr>
        <w:jc w:val="both"/>
        <w:rPr>
          <w:rFonts w:asciiTheme="majorHAnsi" w:hAnsiTheme="majorHAnsi" w:cstheme="majorHAnsi"/>
          <w:sz w:val="24"/>
          <w:szCs w:val="24"/>
        </w:rPr>
      </w:pPr>
      <w:r w:rsidRPr="00304510">
        <w:rPr>
          <w:rFonts w:asciiTheme="majorHAnsi" w:hAnsiTheme="majorHAnsi" w:cstheme="majorHAnsi"/>
          <w:sz w:val="24"/>
          <w:szCs w:val="24"/>
        </w:rPr>
        <w:t>High-level written communication skills, including the ability to prepare, present and evaluate reports and submissions and negotiate recommendations.</w:t>
      </w:r>
    </w:p>
    <w:p w14:paraId="5607346F" w14:textId="01623391" w:rsidR="00C002D3" w:rsidRDefault="00C002D3" w:rsidP="00D776BC">
      <w:pPr>
        <w:numPr>
          <w:ilvl w:val="0"/>
          <w:numId w:val="33"/>
        </w:numPr>
        <w:jc w:val="both"/>
        <w:rPr>
          <w:rFonts w:asciiTheme="majorHAnsi" w:hAnsiTheme="majorHAnsi" w:cstheme="majorHAnsi"/>
          <w:sz w:val="24"/>
          <w:szCs w:val="24"/>
        </w:rPr>
      </w:pPr>
      <w:r w:rsidRPr="00304510">
        <w:rPr>
          <w:rFonts w:asciiTheme="majorHAnsi" w:hAnsiTheme="majorHAnsi" w:cstheme="majorHAnsi"/>
          <w:sz w:val="24"/>
          <w:szCs w:val="24"/>
        </w:rPr>
        <w:t>Demonstrated ability to work within a case management framework and contribute</w:t>
      </w:r>
      <w:r w:rsidR="0008115E">
        <w:rPr>
          <w:rFonts w:asciiTheme="majorHAnsi" w:hAnsiTheme="majorHAnsi" w:cstheme="majorHAnsi"/>
          <w:sz w:val="24"/>
          <w:szCs w:val="24"/>
        </w:rPr>
        <w:t xml:space="preserve"> significantly</w:t>
      </w:r>
      <w:r w:rsidRPr="00304510">
        <w:rPr>
          <w:rFonts w:asciiTheme="majorHAnsi" w:hAnsiTheme="majorHAnsi" w:cstheme="majorHAnsi"/>
          <w:sz w:val="24"/>
          <w:szCs w:val="24"/>
        </w:rPr>
        <w:t xml:space="preserve"> to the development, implementation and evaluati</w:t>
      </w:r>
      <w:r w:rsidR="0008115E">
        <w:rPr>
          <w:rFonts w:asciiTheme="majorHAnsi" w:hAnsiTheme="majorHAnsi" w:cstheme="majorHAnsi"/>
          <w:sz w:val="24"/>
          <w:szCs w:val="24"/>
        </w:rPr>
        <w:t>ng</w:t>
      </w:r>
      <w:r w:rsidRPr="00304510">
        <w:rPr>
          <w:rFonts w:asciiTheme="majorHAnsi" w:hAnsiTheme="majorHAnsi" w:cstheme="majorHAnsi"/>
          <w:sz w:val="24"/>
          <w:szCs w:val="24"/>
        </w:rPr>
        <w:t xml:space="preserve"> of processes</w:t>
      </w:r>
      <w:r w:rsidR="0008115E">
        <w:rPr>
          <w:rFonts w:asciiTheme="majorHAnsi" w:hAnsiTheme="majorHAnsi" w:cstheme="majorHAnsi"/>
          <w:sz w:val="24"/>
          <w:szCs w:val="24"/>
        </w:rPr>
        <w:t>, and fostering staff education and development</w:t>
      </w:r>
      <w:r w:rsidRPr="00304510">
        <w:rPr>
          <w:rFonts w:asciiTheme="majorHAnsi" w:hAnsiTheme="majorHAnsi" w:cstheme="majorHAnsi"/>
          <w:sz w:val="24"/>
          <w:szCs w:val="24"/>
        </w:rPr>
        <w:t>.</w:t>
      </w:r>
    </w:p>
    <w:p w14:paraId="16B1AA3C" w14:textId="6D737836" w:rsidR="00D2771F" w:rsidRPr="00304510" w:rsidRDefault="00C002D3" w:rsidP="00D776BC">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rFonts w:asciiTheme="majorHAnsi" w:hAnsiTheme="majorHAnsi" w:cstheme="majorHAnsi"/>
          <w:sz w:val="24"/>
          <w:szCs w:val="24"/>
        </w:rPr>
      </w:pPr>
      <w:r w:rsidRPr="00304510">
        <w:rPr>
          <w:rFonts w:asciiTheme="majorHAnsi" w:hAnsiTheme="majorHAnsi" w:cstheme="majorHAnsi"/>
          <w:sz w:val="24"/>
          <w:szCs w:val="24"/>
        </w:rPr>
        <w:t xml:space="preserve">An understanding of relevant Work, Health and Safety responsibilities, legislation and standards, particularly risk management strategies together with a </w:t>
      </w:r>
      <w:r w:rsidRPr="00304510">
        <w:rPr>
          <w:rFonts w:asciiTheme="majorHAnsi" w:hAnsiTheme="majorHAnsi" w:cstheme="majorHAnsi"/>
          <w:color w:val="000000"/>
          <w:sz w:val="24"/>
          <w:szCs w:val="24"/>
        </w:rPr>
        <w:t>demonstrated commitment to the principles of Equal Employment Opportunity</w:t>
      </w:r>
    </w:p>
    <w:p w14:paraId="375F5108" w14:textId="77777777" w:rsidR="00D2771F" w:rsidRPr="00B732A4" w:rsidRDefault="00935713" w:rsidP="00D776BC">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3CC1865" w14:textId="77777777" w:rsidR="00794D87" w:rsidRDefault="00794D87">
      <w:pPr>
        <w:rPr>
          <w:rFonts w:asciiTheme="majorHAnsi" w:eastAsiaTheme="majorEastAsia" w:hAnsiTheme="majorHAnsi" w:cstheme="majorBidi"/>
          <w:color w:val="011947"/>
          <w:sz w:val="32"/>
          <w:szCs w:val="26"/>
        </w:rPr>
      </w:pPr>
      <w:r>
        <w:rPr>
          <w:color w:val="011947"/>
        </w:rPr>
        <w:br w:type="page"/>
      </w:r>
    </w:p>
    <w:p w14:paraId="5EB47F97" w14:textId="7767CA62" w:rsidR="009D6E8A" w:rsidRPr="00190B67" w:rsidRDefault="009D6E8A" w:rsidP="00D776BC">
      <w:pPr>
        <w:pStyle w:val="Heading2"/>
        <w:spacing w:line="288" w:lineRule="auto"/>
        <w:jc w:val="both"/>
        <w:rPr>
          <w:color w:val="011947"/>
        </w:rPr>
      </w:pPr>
      <w:r w:rsidRPr="00190B67">
        <w:rPr>
          <w:color w:val="011947"/>
        </w:rPr>
        <w:lastRenderedPageBreak/>
        <w:t>Requirements</w:t>
      </w:r>
    </w:p>
    <w:p w14:paraId="4D8F9BF8" w14:textId="77777777" w:rsidR="00D2771F" w:rsidRPr="00B732A4" w:rsidRDefault="00D2771F" w:rsidP="00D776BC">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9B079F6"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95F6A50" w14:textId="77777777" w:rsidR="00D2771F" w:rsidRPr="006373A0" w:rsidRDefault="00D2771F" w:rsidP="00D776BC">
            <w:pPr>
              <w:spacing w:after="120" w:line="288" w:lineRule="auto"/>
              <w:jc w:val="both"/>
              <w:rPr>
                <w:sz w:val="24"/>
                <w:szCs w:val="24"/>
              </w:rPr>
            </w:pPr>
            <w:bookmarkStart w:id="3" w:name="_Hlk173332693"/>
            <w:bookmarkEnd w:id="2"/>
            <w:r w:rsidRPr="00A65F3B">
              <w:rPr>
                <w:b/>
                <w:sz w:val="24"/>
                <w:szCs w:val="24"/>
              </w:rPr>
              <w:t>Essential</w:t>
            </w:r>
          </w:p>
        </w:tc>
        <w:tc>
          <w:tcPr>
            <w:tcW w:w="7763" w:type="dxa"/>
          </w:tcPr>
          <w:p w14:paraId="7C7E4425" w14:textId="77777777" w:rsidR="00D2771F" w:rsidRDefault="00D2771F" w:rsidP="00D776BC">
            <w:pPr>
              <w:numPr>
                <w:ilvl w:val="0"/>
                <w:numId w:val="30"/>
              </w:numPr>
              <w:spacing w:before="60" w:after="120" w:line="288" w:lineRule="auto"/>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39EE7F45" w14:textId="77777777" w:rsidR="001F7CE7" w:rsidRPr="001F7CE7" w:rsidRDefault="001F7CE7" w:rsidP="001F7CE7">
            <w:pPr>
              <w:numPr>
                <w:ilvl w:val="0"/>
                <w:numId w:val="30"/>
              </w:numPr>
              <w:spacing w:before="60" w:after="120" w:line="288" w:lineRule="auto"/>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Pr>
                <w:rFonts w:eastAsia="Times New Roman" w:cs="Arial"/>
                <w:bCs/>
                <w:sz w:val="24"/>
                <w:szCs w:val="24"/>
              </w:rPr>
              <w:t>A tertiary qualification approved by the relevant National Board and eligibility for membership with the Relevant National Board or Professional association</w:t>
            </w:r>
          </w:p>
          <w:p w14:paraId="13DD34F8" w14:textId="47E8681A" w:rsidR="00D2771F" w:rsidRPr="001F7CE7" w:rsidRDefault="00D2771F" w:rsidP="001F7CE7">
            <w:pPr>
              <w:numPr>
                <w:ilvl w:val="0"/>
                <w:numId w:val="30"/>
              </w:numPr>
              <w:spacing w:before="60" w:after="120" w:line="288" w:lineRule="auto"/>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1F7CE7">
              <w:rPr>
                <w:rFonts w:eastAsia="Times New Roman" w:cs="Arial"/>
                <w:bCs/>
                <w:sz w:val="24"/>
                <w:szCs w:val="24"/>
              </w:rPr>
              <w:t>The Head of the State Service has determined that the person nominated for this job is to satisfy a pre-employment check before taking up the appointment, on promotion or transfer. The following checks are to be conducted: Conviction checks in the following areas:</w:t>
            </w:r>
          </w:p>
          <w:p w14:paraId="2845D1FC" w14:textId="77777777" w:rsidR="00D2771F" w:rsidRPr="00A573FF" w:rsidRDefault="00D2771F" w:rsidP="00D776BC">
            <w:pPr>
              <w:pStyle w:val="ListParagraph"/>
              <w:numPr>
                <w:ilvl w:val="1"/>
                <w:numId w:val="37"/>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19956A65" w14:textId="77777777" w:rsidR="00D2771F" w:rsidRPr="00A573FF" w:rsidRDefault="00D2771F" w:rsidP="00D776BC">
            <w:pPr>
              <w:pStyle w:val="ListParagraph"/>
              <w:numPr>
                <w:ilvl w:val="1"/>
                <w:numId w:val="37"/>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141F60DD" w14:textId="77777777" w:rsidR="00D2771F" w:rsidRPr="00A573FF" w:rsidRDefault="00D2771F" w:rsidP="00D776BC">
            <w:pPr>
              <w:pStyle w:val="ListParagraph"/>
              <w:numPr>
                <w:ilvl w:val="1"/>
                <w:numId w:val="37"/>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12D3AC4B" w14:textId="77777777" w:rsidR="00D2771F" w:rsidRDefault="00D2771F" w:rsidP="00D776BC">
            <w:pPr>
              <w:pStyle w:val="ListParagraph"/>
              <w:numPr>
                <w:ilvl w:val="1"/>
                <w:numId w:val="37"/>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5D8580F3" w14:textId="77777777" w:rsidR="00D2771F" w:rsidRPr="00A573FF" w:rsidRDefault="00D2771F" w:rsidP="00D776BC">
            <w:pPr>
              <w:pStyle w:val="ListParagraph"/>
              <w:numPr>
                <w:ilvl w:val="1"/>
                <w:numId w:val="37"/>
              </w:numPr>
              <w:tabs>
                <w:tab w:val="clear" w:pos="227"/>
                <w:tab w:val="clear" w:pos="454"/>
                <w:tab w:val="clear" w:pos="680"/>
                <w:tab w:val="clear" w:pos="907"/>
                <w:tab w:val="clear" w:pos="1134"/>
                <w:tab w:val="clear" w:pos="1361"/>
              </w:tabs>
              <w:spacing w:before="120" w:after="120" w:line="288" w:lineRule="auto"/>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65B0E3F5" w14:textId="77777777" w:rsidR="0030202C" w:rsidRDefault="00D2771F" w:rsidP="00D776BC">
            <w:pPr>
              <w:pStyle w:val="ListParagraph"/>
              <w:numPr>
                <w:ilvl w:val="0"/>
                <w:numId w:val="37"/>
              </w:numPr>
              <w:tabs>
                <w:tab w:val="clear" w:pos="227"/>
                <w:tab w:val="clear" w:pos="454"/>
                <w:tab w:val="clear" w:pos="680"/>
                <w:tab w:val="clear" w:pos="907"/>
                <w:tab w:val="clear" w:pos="1134"/>
                <w:tab w:val="clear" w:pos="1361"/>
              </w:tabs>
              <w:spacing w:before="120" w:after="120" w:line="288" w:lineRule="auto"/>
              <w:ind w:hanging="487"/>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4E262D9B" w14:textId="419A5B8D" w:rsidR="004F496D" w:rsidRPr="001F7CE7" w:rsidRDefault="00D2771F" w:rsidP="001F7CE7">
            <w:pPr>
              <w:pStyle w:val="ListParagraph"/>
              <w:numPr>
                <w:ilvl w:val="0"/>
                <w:numId w:val="37"/>
              </w:numPr>
              <w:tabs>
                <w:tab w:val="clear" w:pos="227"/>
                <w:tab w:val="clear" w:pos="454"/>
                <w:tab w:val="clear" w:pos="680"/>
                <w:tab w:val="clear" w:pos="907"/>
                <w:tab w:val="clear" w:pos="1134"/>
                <w:tab w:val="clear" w:pos="1361"/>
              </w:tabs>
              <w:spacing w:before="120" w:after="120" w:line="288" w:lineRule="auto"/>
              <w:ind w:hanging="487"/>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r w:rsidR="00D2771F" w14:paraId="5A7790D1"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243A65C" w14:textId="2F60E199" w:rsidR="00D2771F" w:rsidRPr="00A65F3B" w:rsidRDefault="00D2771F" w:rsidP="00D776BC">
            <w:pPr>
              <w:spacing w:after="120" w:line="288" w:lineRule="auto"/>
              <w:jc w:val="both"/>
              <w:rPr>
                <w:b/>
                <w:sz w:val="24"/>
                <w:szCs w:val="24"/>
              </w:rPr>
            </w:pPr>
          </w:p>
        </w:tc>
        <w:tc>
          <w:tcPr>
            <w:tcW w:w="7763" w:type="dxa"/>
          </w:tcPr>
          <w:p w14:paraId="6E30A003" w14:textId="5B41E988" w:rsidR="00D2771F" w:rsidRPr="00F31895" w:rsidRDefault="00D2771F" w:rsidP="00D776BC">
            <w:pPr>
              <w:spacing w:before="60" w:after="120"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ED7D31"/>
                <w:sz w:val="24"/>
                <w:szCs w:val="24"/>
              </w:rPr>
            </w:pPr>
          </w:p>
        </w:tc>
      </w:tr>
      <w:bookmarkEnd w:id="0"/>
      <w:bookmarkEnd w:id="3"/>
    </w:tbl>
    <w:p w14:paraId="111CE3DE" w14:textId="77777777" w:rsidR="00794D87" w:rsidRDefault="00794D87" w:rsidP="00D776BC">
      <w:pPr>
        <w:pStyle w:val="Heading2"/>
        <w:spacing w:line="288" w:lineRule="auto"/>
        <w:jc w:val="both"/>
        <w:rPr>
          <w:color w:val="011947"/>
        </w:rPr>
      </w:pPr>
    </w:p>
    <w:p w14:paraId="706F128D" w14:textId="77777777" w:rsidR="00794D87" w:rsidRDefault="00794D87">
      <w:pPr>
        <w:rPr>
          <w:rFonts w:asciiTheme="majorHAnsi" w:eastAsiaTheme="majorEastAsia" w:hAnsiTheme="majorHAnsi" w:cstheme="majorBidi"/>
          <w:color w:val="011947"/>
          <w:sz w:val="32"/>
          <w:szCs w:val="26"/>
        </w:rPr>
      </w:pPr>
      <w:r>
        <w:rPr>
          <w:color w:val="011947"/>
        </w:rPr>
        <w:br w:type="page"/>
      </w:r>
    </w:p>
    <w:p w14:paraId="37FB9A56" w14:textId="1C5E805C" w:rsidR="00D2771F" w:rsidRPr="00B732A4" w:rsidRDefault="00D2771F" w:rsidP="00D776BC">
      <w:pPr>
        <w:pStyle w:val="Heading2"/>
        <w:spacing w:line="288" w:lineRule="auto"/>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A5CAB1C" w14:textId="77777777" w:rsidR="007773F9" w:rsidRDefault="007773F9" w:rsidP="00D776BC">
      <w:pPr>
        <w:jc w:val="both"/>
        <w:rPr>
          <w:sz w:val="24"/>
          <w:szCs w:val="24"/>
        </w:rPr>
      </w:pPr>
      <w:r>
        <w:rPr>
          <w:noProof/>
        </w:rPr>
        <w:drawing>
          <wp:inline distT="0" distB="0" distL="0" distR="0" wp14:anchorId="03F9B242" wp14:editId="1D383CF6">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601D3127" w14:textId="77777777" w:rsidR="00D2771F" w:rsidRPr="00FD47C2" w:rsidRDefault="00D2771F" w:rsidP="00D776BC">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5AF39928" w14:textId="77777777" w:rsidR="00D2771F" w:rsidRDefault="00D2771F" w:rsidP="00D776BC">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4E477443" w14:textId="38C675F0" w:rsidR="00D2771F" w:rsidRDefault="00D2771F" w:rsidP="00D776BC">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794D87">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6441B4A" w14:textId="77777777" w:rsidR="00D2771F" w:rsidRDefault="00D2771F" w:rsidP="00D776BC">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1DD79D68" w14:textId="77777777" w:rsidR="00D2771F" w:rsidRPr="00CA664C" w:rsidRDefault="00D2771F" w:rsidP="00D776BC">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3BE691B" w14:textId="77777777" w:rsidR="00D2771F" w:rsidRPr="00CA664C" w:rsidRDefault="00D2771F" w:rsidP="00D776BC">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AD33834" w14:textId="77777777" w:rsidR="00D2771F" w:rsidRPr="00B732A4" w:rsidRDefault="00D2771F" w:rsidP="00D776BC">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1C4DBBE0" w14:textId="77777777" w:rsidR="00794D87" w:rsidRDefault="00794D87">
      <w:pPr>
        <w:rPr>
          <w:rFonts w:asciiTheme="majorHAnsi" w:eastAsiaTheme="majorEastAsia" w:hAnsiTheme="majorHAnsi" w:cstheme="majorBidi"/>
          <w:color w:val="011947"/>
          <w:sz w:val="32"/>
          <w:szCs w:val="26"/>
        </w:rPr>
      </w:pPr>
      <w:r>
        <w:rPr>
          <w:color w:val="011947"/>
        </w:rPr>
        <w:br w:type="page"/>
      </w:r>
    </w:p>
    <w:p w14:paraId="4420056C" w14:textId="30A746A4" w:rsidR="00D2771F" w:rsidRPr="00B732A4" w:rsidRDefault="00D2771F" w:rsidP="00D776BC">
      <w:pPr>
        <w:pStyle w:val="Heading2"/>
        <w:spacing w:line="288" w:lineRule="auto"/>
        <w:jc w:val="both"/>
        <w:rPr>
          <w:color w:val="011947"/>
        </w:rPr>
      </w:pPr>
      <w:r w:rsidRPr="00B732A4">
        <w:rPr>
          <w:color w:val="011947"/>
        </w:rPr>
        <w:lastRenderedPageBreak/>
        <w:t>Commitment to Children and Young People</w:t>
      </w:r>
    </w:p>
    <w:p w14:paraId="1B7CD4AE" w14:textId="77777777" w:rsidR="007773F9" w:rsidRDefault="00D2771F" w:rsidP="00D776BC">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1EF7E5E3" w14:textId="77777777" w:rsidR="00D2771F" w:rsidRPr="00B732A4" w:rsidRDefault="00D2771F" w:rsidP="00D776BC">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273B04AA" w14:textId="77777777" w:rsidR="00D2771F" w:rsidRPr="005C26ED" w:rsidRDefault="00D2771F" w:rsidP="00D776BC">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F3EFB55" w14:textId="77777777" w:rsidTr="00AE03E2">
        <w:trPr>
          <w:trHeight w:val="70"/>
          <w:tblHeader/>
        </w:trPr>
        <w:tc>
          <w:tcPr>
            <w:tcW w:w="9026" w:type="dxa"/>
          </w:tcPr>
          <w:p w14:paraId="1E2EC760" w14:textId="3F6072FA" w:rsidR="0030202C" w:rsidRDefault="00D2771F" w:rsidP="00D776BC">
            <w:pPr>
              <w:tabs>
                <w:tab w:val="left" w:pos="180"/>
              </w:tabs>
              <w:spacing w:after="120" w:line="288" w:lineRule="auto"/>
              <w:jc w:val="both"/>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342501">
              <w:rPr>
                <w:rFonts w:cs="Arial"/>
                <w:bCs/>
              </w:rPr>
              <w:t>Approved under DCT arrangements as of March 2017.</w:t>
            </w:r>
          </w:p>
          <w:p w14:paraId="42F4833D" w14:textId="0C66F3BC" w:rsidR="00342501" w:rsidRDefault="00D2771F" w:rsidP="00D776BC">
            <w:pPr>
              <w:tabs>
                <w:tab w:val="left" w:pos="180"/>
              </w:tabs>
              <w:spacing w:after="120" w:line="288" w:lineRule="auto"/>
              <w:jc w:val="both"/>
              <w:rPr>
                <w:rFonts w:cs="Arial"/>
              </w:rPr>
            </w:pPr>
            <w:r w:rsidRPr="00D720EC">
              <w:rPr>
                <w:rFonts w:cs="Arial"/>
              </w:rPr>
              <w:t xml:space="preserve">Request: </w:t>
            </w:r>
            <w:r w:rsidR="00D776BC" w:rsidRPr="00D776BC">
              <w:rPr>
                <w:rFonts w:cs="Arial"/>
              </w:rPr>
              <w:t>7035541</w:t>
            </w:r>
          </w:p>
          <w:p w14:paraId="03A36AA5" w14:textId="76ACD408" w:rsidR="00D2771F" w:rsidRPr="00E15432" w:rsidRDefault="00D2771F" w:rsidP="00D776BC">
            <w:pPr>
              <w:tabs>
                <w:tab w:val="left" w:pos="180"/>
              </w:tabs>
              <w:spacing w:after="120" w:line="288" w:lineRule="auto"/>
              <w:jc w:val="both"/>
              <w:rPr>
                <w:rFonts w:cs="Arial"/>
              </w:rPr>
            </w:pPr>
            <w:r w:rsidRPr="00D720EC">
              <w:rPr>
                <w:rFonts w:cs="Arial"/>
              </w:rPr>
              <w:t xml:space="preserve">Date Duties and Selection Criteria Last Reviewed: </w:t>
            </w:r>
            <w:r w:rsidR="00342501">
              <w:rPr>
                <w:rFonts w:cs="Arial"/>
              </w:rPr>
              <w:t>06/25</w:t>
            </w:r>
          </w:p>
        </w:tc>
      </w:tr>
      <w:bookmarkEnd w:id="4"/>
    </w:tbl>
    <w:p w14:paraId="1E3CB8FC" w14:textId="77777777" w:rsidR="00BF7FC7" w:rsidRPr="00BF7FC7" w:rsidRDefault="00BF7FC7" w:rsidP="00D776BC">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EBFA3" w14:textId="77777777" w:rsidR="00E74715" w:rsidRDefault="00E74715" w:rsidP="0021185D">
      <w:pPr>
        <w:spacing w:after="0" w:line="240" w:lineRule="auto"/>
      </w:pPr>
      <w:r>
        <w:separator/>
      </w:r>
    </w:p>
    <w:p w14:paraId="214AA8EF" w14:textId="77777777" w:rsidR="00E74715" w:rsidRDefault="00E74715"/>
  </w:endnote>
  <w:endnote w:type="continuationSeparator" w:id="0">
    <w:p w14:paraId="49523381" w14:textId="77777777" w:rsidR="00E74715" w:rsidRDefault="00E74715" w:rsidP="0021185D">
      <w:pPr>
        <w:spacing w:after="0" w:line="240" w:lineRule="auto"/>
      </w:pPr>
      <w:r>
        <w:continuationSeparator/>
      </w:r>
    </w:p>
    <w:p w14:paraId="718ECAD4" w14:textId="77777777" w:rsidR="00E74715" w:rsidRDefault="00E74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9748"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405AE6D"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DDCD"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21AF3448" wp14:editId="5975709E">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C9096" w14:textId="77777777" w:rsidR="00E74715" w:rsidRDefault="00E74715" w:rsidP="0021185D">
      <w:pPr>
        <w:spacing w:after="0" w:line="240" w:lineRule="auto"/>
      </w:pPr>
      <w:r>
        <w:separator/>
      </w:r>
    </w:p>
    <w:p w14:paraId="658382E9" w14:textId="77777777" w:rsidR="00E74715" w:rsidRDefault="00E74715"/>
  </w:footnote>
  <w:footnote w:type="continuationSeparator" w:id="0">
    <w:p w14:paraId="6041D960" w14:textId="77777777" w:rsidR="00E74715" w:rsidRDefault="00E74715" w:rsidP="0021185D">
      <w:pPr>
        <w:spacing w:after="0" w:line="240" w:lineRule="auto"/>
      </w:pPr>
      <w:r>
        <w:continuationSeparator/>
      </w:r>
    </w:p>
    <w:p w14:paraId="593D1ED4" w14:textId="77777777" w:rsidR="00E74715" w:rsidRDefault="00E74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5AE1" w14:textId="77777777" w:rsidR="007773F9" w:rsidRDefault="007773F9" w:rsidP="00A26A93">
    <w:pPr>
      <w:pStyle w:val="IntroParagraph"/>
      <w:spacing w:before="0" w:after="0"/>
      <w:rPr>
        <w:noProof/>
      </w:rPr>
    </w:pPr>
  </w:p>
  <w:p w14:paraId="3D5F3EEF" w14:textId="77777777" w:rsidR="007773F9" w:rsidRDefault="007773F9" w:rsidP="00A26A93">
    <w:pPr>
      <w:pStyle w:val="IntroParagraph"/>
      <w:spacing w:before="0" w:after="0"/>
      <w:rPr>
        <w:noProof/>
      </w:rPr>
    </w:pPr>
  </w:p>
  <w:p w14:paraId="09FE1E76"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1F6823B9" wp14:editId="792F2BC6">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33ADA"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275CFD"/>
    <w:multiLevelType w:val="hybridMultilevel"/>
    <w:tmpl w:val="36BC34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650A33"/>
    <w:multiLevelType w:val="hybridMultilevel"/>
    <w:tmpl w:val="F7C297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3" w15:restartNumberingAfterBreak="0">
    <w:nsid w:val="48603F17"/>
    <w:multiLevelType w:val="hybridMultilevel"/>
    <w:tmpl w:val="F47A837E"/>
    <w:lvl w:ilvl="0" w:tplc="0C090001">
      <w:start w:val="1"/>
      <w:numFmt w:val="bullet"/>
      <w:lvlText w:val=""/>
      <w:lvlJc w:val="left"/>
      <w:pPr>
        <w:ind w:left="360" w:hanging="360"/>
      </w:pPr>
      <w:rPr>
        <w:rFonts w:ascii="Symbol" w:hAnsi="Symbol" w:hint="default"/>
        <w:b w:val="0"/>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DC457F"/>
    <w:multiLevelType w:val="hybridMultilevel"/>
    <w:tmpl w:val="AB38179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0"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C74629E"/>
    <w:multiLevelType w:val="hybridMultilevel"/>
    <w:tmpl w:val="11567D1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C517918"/>
    <w:multiLevelType w:val="multilevel"/>
    <w:tmpl w:val="72A0F6A6"/>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2"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40"/>
  </w:num>
  <w:num w:numId="2" w16cid:durableId="1099250515">
    <w:abstractNumId w:val="21"/>
  </w:num>
  <w:num w:numId="3" w16cid:durableId="454718066">
    <w:abstractNumId w:val="24"/>
  </w:num>
  <w:num w:numId="4" w16cid:durableId="20790063">
    <w:abstractNumId w:val="7"/>
  </w:num>
  <w:num w:numId="5" w16cid:durableId="1314144844">
    <w:abstractNumId w:val="13"/>
  </w:num>
  <w:num w:numId="6" w16cid:durableId="1346397344">
    <w:abstractNumId w:val="15"/>
  </w:num>
  <w:num w:numId="7" w16cid:durableId="292291676">
    <w:abstractNumId w:val="39"/>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20"/>
  </w:num>
  <w:num w:numId="13" w16cid:durableId="2100369805">
    <w:abstractNumId w:val="30"/>
  </w:num>
  <w:num w:numId="14" w16cid:durableId="1671323240">
    <w:abstractNumId w:val="4"/>
  </w:num>
  <w:num w:numId="15" w16cid:durableId="1858543762">
    <w:abstractNumId w:val="16"/>
  </w:num>
  <w:num w:numId="16" w16cid:durableId="57754739">
    <w:abstractNumId w:val="22"/>
  </w:num>
  <w:num w:numId="17" w16cid:durableId="223832047">
    <w:abstractNumId w:val="5"/>
  </w:num>
  <w:num w:numId="18" w16cid:durableId="1729499897">
    <w:abstractNumId w:val="43"/>
  </w:num>
  <w:num w:numId="19" w16cid:durableId="2132505946">
    <w:abstractNumId w:val="27"/>
  </w:num>
  <w:num w:numId="20" w16cid:durableId="1541359452">
    <w:abstractNumId w:val="29"/>
  </w:num>
  <w:num w:numId="21" w16cid:durableId="434911651">
    <w:abstractNumId w:val="32"/>
  </w:num>
  <w:num w:numId="22" w16cid:durableId="1089351798">
    <w:abstractNumId w:val="38"/>
  </w:num>
  <w:num w:numId="23" w16cid:durableId="12651935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42"/>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31"/>
  </w:num>
  <w:num w:numId="29" w16cid:durableId="583146408">
    <w:abstractNumId w:val="26"/>
  </w:num>
  <w:num w:numId="30" w16cid:durableId="133329015">
    <w:abstractNumId w:val="17"/>
  </w:num>
  <w:num w:numId="31" w16cid:durableId="1559319133">
    <w:abstractNumId w:val="34"/>
  </w:num>
  <w:num w:numId="32" w16cid:durableId="2147239570">
    <w:abstractNumId w:val="10"/>
  </w:num>
  <w:num w:numId="33" w16cid:durableId="457382409">
    <w:abstractNumId w:val="9"/>
  </w:num>
  <w:num w:numId="34" w16cid:durableId="972101933">
    <w:abstractNumId w:val="3"/>
  </w:num>
  <w:num w:numId="35" w16cid:durableId="1836727596">
    <w:abstractNumId w:val="19"/>
  </w:num>
  <w:num w:numId="36" w16cid:durableId="61105151">
    <w:abstractNumId w:val="28"/>
  </w:num>
  <w:num w:numId="37" w16cid:durableId="281304752">
    <w:abstractNumId w:val="33"/>
  </w:num>
  <w:num w:numId="38" w16cid:durableId="1222055391">
    <w:abstractNumId w:val="36"/>
  </w:num>
  <w:num w:numId="39" w16cid:durableId="1579637143">
    <w:abstractNumId w:val="37"/>
  </w:num>
  <w:num w:numId="40" w16cid:durableId="1466661026">
    <w:abstractNumId w:val="8"/>
  </w:num>
  <w:num w:numId="41" w16cid:durableId="1436904236">
    <w:abstractNumId w:val="25"/>
  </w:num>
  <w:num w:numId="42" w16cid:durableId="555705195">
    <w:abstractNumId w:val="35"/>
  </w:num>
  <w:num w:numId="43" w16cid:durableId="1947885727">
    <w:abstractNumId w:val="41"/>
  </w:num>
  <w:num w:numId="44" w16cid:durableId="383332875">
    <w:abstractNumId w:val="18"/>
  </w:num>
  <w:num w:numId="45" w16cid:durableId="7867327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8E"/>
    <w:rsid w:val="0003097B"/>
    <w:rsid w:val="0003699F"/>
    <w:rsid w:val="00043BD2"/>
    <w:rsid w:val="00045B4B"/>
    <w:rsid w:val="00054DAF"/>
    <w:rsid w:val="00060B8A"/>
    <w:rsid w:val="00075F1C"/>
    <w:rsid w:val="0008115E"/>
    <w:rsid w:val="00083CA6"/>
    <w:rsid w:val="00083EED"/>
    <w:rsid w:val="000A6D2A"/>
    <w:rsid w:val="000B12D1"/>
    <w:rsid w:val="000D6799"/>
    <w:rsid w:val="000E161A"/>
    <w:rsid w:val="000F44F6"/>
    <w:rsid w:val="001058AB"/>
    <w:rsid w:val="00117D4C"/>
    <w:rsid w:val="001305A1"/>
    <w:rsid w:val="00133A95"/>
    <w:rsid w:val="001543EA"/>
    <w:rsid w:val="00157455"/>
    <w:rsid w:val="0016296A"/>
    <w:rsid w:val="00163800"/>
    <w:rsid w:val="00167EA1"/>
    <w:rsid w:val="0017164A"/>
    <w:rsid w:val="001733FD"/>
    <w:rsid w:val="0018549F"/>
    <w:rsid w:val="0019596D"/>
    <w:rsid w:val="001A3B3F"/>
    <w:rsid w:val="001A4CB2"/>
    <w:rsid w:val="001E7F11"/>
    <w:rsid w:val="001F7CE7"/>
    <w:rsid w:val="00200C4A"/>
    <w:rsid w:val="0021185D"/>
    <w:rsid w:val="00216D6E"/>
    <w:rsid w:val="002229B6"/>
    <w:rsid w:val="00234DD7"/>
    <w:rsid w:val="002550C7"/>
    <w:rsid w:val="00256B79"/>
    <w:rsid w:val="00264614"/>
    <w:rsid w:val="0027130E"/>
    <w:rsid w:val="00274CC1"/>
    <w:rsid w:val="00280ED9"/>
    <w:rsid w:val="002A609F"/>
    <w:rsid w:val="002C1C14"/>
    <w:rsid w:val="002C2248"/>
    <w:rsid w:val="002C5E53"/>
    <w:rsid w:val="002C689E"/>
    <w:rsid w:val="002F74C8"/>
    <w:rsid w:val="0030202C"/>
    <w:rsid w:val="00302D72"/>
    <w:rsid w:val="00304510"/>
    <w:rsid w:val="00310B14"/>
    <w:rsid w:val="00314A9E"/>
    <w:rsid w:val="00315A37"/>
    <w:rsid w:val="00335740"/>
    <w:rsid w:val="00341FDD"/>
    <w:rsid w:val="00342501"/>
    <w:rsid w:val="00350EB8"/>
    <w:rsid w:val="00356782"/>
    <w:rsid w:val="00394B1B"/>
    <w:rsid w:val="00395538"/>
    <w:rsid w:val="003A536B"/>
    <w:rsid w:val="003A66C0"/>
    <w:rsid w:val="003B4B23"/>
    <w:rsid w:val="003D675E"/>
    <w:rsid w:val="0040727E"/>
    <w:rsid w:val="00414790"/>
    <w:rsid w:val="0042558A"/>
    <w:rsid w:val="0042594C"/>
    <w:rsid w:val="00430343"/>
    <w:rsid w:val="0044095D"/>
    <w:rsid w:val="004561FC"/>
    <w:rsid w:val="004609BB"/>
    <w:rsid w:val="004C277B"/>
    <w:rsid w:val="004C4F86"/>
    <w:rsid w:val="004D1FC2"/>
    <w:rsid w:val="004D2F28"/>
    <w:rsid w:val="004D7A71"/>
    <w:rsid w:val="004D7CF4"/>
    <w:rsid w:val="004F496D"/>
    <w:rsid w:val="005066D4"/>
    <w:rsid w:val="00507FB2"/>
    <w:rsid w:val="00515EB4"/>
    <w:rsid w:val="0052438F"/>
    <w:rsid w:val="00545C6D"/>
    <w:rsid w:val="00546B9E"/>
    <w:rsid w:val="00553139"/>
    <w:rsid w:val="00571853"/>
    <w:rsid w:val="00574620"/>
    <w:rsid w:val="0057794A"/>
    <w:rsid w:val="005809C1"/>
    <w:rsid w:val="005816FC"/>
    <w:rsid w:val="00582D40"/>
    <w:rsid w:val="005836DC"/>
    <w:rsid w:val="0058395F"/>
    <w:rsid w:val="00585028"/>
    <w:rsid w:val="005B3E56"/>
    <w:rsid w:val="005C26ED"/>
    <w:rsid w:val="005D11E0"/>
    <w:rsid w:val="005D7981"/>
    <w:rsid w:val="005E5F72"/>
    <w:rsid w:val="005F0AB1"/>
    <w:rsid w:val="00611319"/>
    <w:rsid w:val="00611AD3"/>
    <w:rsid w:val="00620233"/>
    <w:rsid w:val="006458C0"/>
    <w:rsid w:val="0067615C"/>
    <w:rsid w:val="00680938"/>
    <w:rsid w:val="00693CCC"/>
    <w:rsid w:val="00697DE2"/>
    <w:rsid w:val="006B5226"/>
    <w:rsid w:val="006C2F21"/>
    <w:rsid w:val="006D0C8E"/>
    <w:rsid w:val="006D4872"/>
    <w:rsid w:val="006D7008"/>
    <w:rsid w:val="006D7169"/>
    <w:rsid w:val="006E7034"/>
    <w:rsid w:val="006E7874"/>
    <w:rsid w:val="007260EA"/>
    <w:rsid w:val="0073162E"/>
    <w:rsid w:val="00736B55"/>
    <w:rsid w:val="0074012F"/>
    <w:rsid w:val="0074212D"/>
    <w:rsid w:val="00772F50"/>
    <w:rsid w:val="007773F9"/>
    <w:rsid w:val="0079188F"/>
    <w:rsid w:val="00792193"/>
    <w:rsid w:val="007937BE"/>
    <w:rsid w:val="00794D87"/>
    <w:rsid w:val="007A6C0F"/>
    <w:rsid w:val="007B624D"/>
    <w:rsid w:val="007B689E"/>
    <w:rsid w:val="007B7B9D"/>
    <w:rsid w:val="007C64D9"/>
    <w:rsid w:val="007D126B"/>
    <w:rsid w:val="007F0FE8"/>
    <w:rsid w:val="0082660F"/>
    <w:rsid w:val="00853810"/>
    <w:rsid w:val="00853DA2"/>
    <w:rsid w:val="0086173D"/>
    <w:rsid w:val="00867075"/>
    <w:rsid w:val="008929BA"/>
    <w:rsid w:val="00893ACD"/>
    <w:rsid w:val="00894EFE"/>
    <w:rsid w:val="008A4A15"/>
    <w:rsid w:val="008C241C"/>
    <w:rsid w:val="008E08BD"/>
    <w:rsid w:val="008E4295"/>
    <w:rsid w:val="008E504D"/>
    <w:rsid w:val="008F2FCD"/>
    <w:rsid w:val="009135F2"/>
    <w:rsid w:val="00931649"/>
    <w:rsid w:val="00935713"/>
    <w:rsid w:val="00935E94"/>
    <w:rsid w:val="0094746F"/>
    <w:rsid w:val="009514D5"/>
    <w:rsid w:val="00963D71"/>
    <w:rsid w:val="00980A86"/>
    <w:rsid w:val="00980B47"/>
    <w:rsid w:val="009A76A9"/>
    <w:rsid w:val="009A7920"/>
    <w:rsid w:val="009B3B5A"/>
    <w:rsid w:val="009B3E95"/>
    <w:rsid w:val="009B48A8"/>
    <w:rsid w:val="009C08F6"/>
    <w:rsid w:val="009D01B8"/>
    <w:rsid w:val="009D0306"/>
    <w:rsid w:val="009D6E8A"/>
    <w:rsid w:val="009D77A5"/>
    <w:rsid w:val="009F275A"/>
    <w:rsid w:val="009F56AC"/>
    <w:rsid w:val="00A033AF"/>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1581D"/>
    <w:rsid w:val="00B2387C"/>
    <w:rsid w:val="00B26E57"/>
    <w:rsid w:val="00B35976"/>
    <w:rsid w:val="00B419A8"/>
    <w:rsid w:val="00B5117E"/>
    <w:rsid w:val="00B620D5"/>
    <w:rsid w:val="00B66506"/>
    <w:rsid w:val="00B66AB7"/>
    <w:rsid w:val="00B741A8"/>
    <w:rsid w:val="00B7509B"/>
    <w:rsid w:val="00B93ADF"/>
    <w:rsid w:val="00B9468D"/>
    <w:rsid w:val="00B94BB7"/>
    <w:rsid w:val="00B9753D"/>
    <w:rsid w:val="00BA3C7A"/>
    <w:rsid w:val="00BB7324"/>
    <w:rsid w:val="00BD076D"/>
    <w:rsid w:val="00BD2AAD"/>
    <w:rsid w:val="00BE1A22"/>
    <w:rsid w:val="00BF7FC7"/>
    <w:rsid w:val="00C002D3"/>
    <w:rsid w:val="00C13D8F"/>
    <w:rsid w:val="00C200D1"/>
    <w:rsid w:val="00C247A8"/>
    <w:rsid w:val="00C26FF7"/>
    <w:rsid w:val="00C35A22"/>
    <w:rsid w:val="00C41DB7"/>
    <w:rsid w:val="00C42925"/>
    <w:rsid w:val="00C44AA7"/>
    <w:rsid w:val="00C4706C"/>
    <w:rsid w:val="00C5488F"/>
    <w:rsid w:val="00C61113"/>
    <w:rsid w:val="00C673DA"/>
    <w:rsid w:val="00C74145"/>
    <w:rsid w:val="00C741D0"/>
    <w:rsid w:val="00C8261F"/>
    <w:rsid w:val="00C8792B"/>
    <w:rsid w:val="00CC067E"/>
    <w:rsid w:val="00CC4248"/>
    <w:rsid w:val="00CD2F65"/>
    <w:rsid w:val="00CE3DB6"/>
    <w:rsid w:val="00CF1D18"/>
    <w:rsid w:val="00D06C44"/>
    <w:rsid w:val="00D21B73"/>
    <w:rsid w:val="00D26002"/>
    <w:rsid w:val="00D2771F"/>
    <w:rsid w:val="00D377F8"/>
    <w:rsid w:val="00D416FC"/>
    <w:rsid w:val="00D42731"/>
    <w:rsid w:val="00D44AA7"/>
    <w:rsid w:val="00D5450E"/>
    <w:rsid w:val="00D603EF"/>
    <w:rsid w:val="00D70A45"/>
    <w:rsid w:val="00D776BC"/>
    <w:rsid w:val="00D82155"/>
    <w:rsid w:val="00D963D0"/>
    <w:rsid w:val="00D965A0"/>
    <w:rsid w:val="00DA1939"/>
    <w:rsid w:val="00DA4347"/>
    <w:rsid w:val="00DB369F"/>
    <w:rsid w:val="00DD7B0A"/>
    <w:rsid w:val="00E069E9"/>
    <w:rsid w:val="00E14C45"/>
    <w:rsid w:val="00E15432"/>
    <w:rsid w:val="00E25C7B"/>
    <w:rsid w:val="00E3103F"/>
    <w:rsid w:val="00E36F56"/>
    <w:rsid w:val="00E441F1"/>
    <w:rsid w:val="00E50FF8"/>
    <w:rsid w:val="00E61456"/>
    <w:rsid w:val="00E7126F"/>
    <w:rsid w:val="00E74715"/>
    <w:rsid w:val="00E8310E"/>
    <w:rsid w:val="00E8482A"/>
    <w:rsid w:val="00E92BDF"/>
    <w:rsid w:val="00E9525A"/>
    <w:rsid w:val="00EB37CC"/>
    <w:rsid w:val="00EC7BED"/>
    <w:rsid w:val="00ED7551"/>
    <w:rsid w:val="00EE2CB4"/>
    <w:rsid w:val="00EF0022"/>
    <w:rsid w:val="00F000B3"/>
    <w:rsid w:val="00F00402"/>
    <w:rsid w:val="00F00C5A"/>
    <w:rsid w:val="00F25D12"/>
    <w:rsid w:val="00F2736E"/>
    <w:rsid w:val="00F31895"/>
    <w:rsid w:val="00F32565"/>
    <w:rsid w:val="00F3541E"/>
    <w:rsid w:val="00F52F3C"/>
    <w:rsid w:val="00F87EB5"/>
    <w:rsid w:val="00FC6165"/>
    <w:rsid w:val="00FC7011"/>
    <w:rsid w:val="00FD0117"/>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5C51"/>
  <w15:chartTrackingRefBased/>
  <w15:docId w15:val="{8A35D89F-C5EB-484E-B177-4FCFC4B2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styleId="BodyText">
    <w:name w:val="Body Text"/>
    <w:basedOn w:val="Normal"/>
    <w:link w:val="BodyTextChar"/>
    <w:rsid w:val="00D416FC"/>
    <w:pPr>
      <w:spacing w:after="0" w:line="240" w:lineRule="auto"/>
      <w:jc w:val="both"/>
    </w:pPr>
    <w:rPr>
      <w:rFonts w:ascii="Times" w:eastAsia="Times New Roman" w:hAnsi="Times" w:cs="Times New Roman"/>
      <w:kern w:val="0"/>
      <w:szCs w:val="20"/>
      <w14:ligatures w14:val="none"/>
    </w:rPr>
  </w:style>
  <w:style w:type="character" w:customStyle="1" w:styleId="BodyTextChar">
    <w:name w:val="Body Text Char"/>
    <w:basedOn w:val="DefaultParagraphFont"/>
    <w:link w:val="BodyText"/>
    <w:rsid w:val="00D416FC"/>
    <w:rPr>
      <w:rFonts w:ascii="Times" w:eastAsia="Times New Roman" w:hAnsi="Times" w:cs="Times New Roman"/>
      <w:kern w:val="0"/>
      <w:szCs w:val="20"/>
      <w14:ligatures w14:val="none"/>
    </w:rPr>
  </w:style>
  <w:style w:type="paragraph" w:styleId="BodyTextIndent2">
    <w:name w:val="Body Text Indent 2"/>
    <w:basedOn w:val="Normal"/>
    <w:link w:val="BodyTextIndent2Char"/>
    <w:uiPriority w:val="99"/>
    <w:semiHidden/>
    <w:unhideWhenUsed/>
    <w:rsid w:val="00C61113"/>
    <w:pPr>
      <w:spacing w:line="480" w:lineRule="auto"/>
      <w:ind w:left="283"/>
    </w:pPr>
  </w:style>
  <w:style w:type="character" w:customStyle="1" w:styleId="BodyTextIndent2Char">
    <w:name w:val="Body Text Indent 2 Char"/>
    <w:basedOn w:val="DefaultParagraphFont"/>
    <w:link w:val="BodyTextIndent2"/>
    <w:uiPriority w:val="99"/>
    <w:semiHidden/>
    <w:rsid w:val="00C61113"/>
  </w:style>
  <w:style w:type="paragraph" w:customStyle="1" w:styleId="NumberedList">
    <w:name w:val="Numbered List"/>
    <w:link w:val="NumberedListChar"/>
    <w:semiHidden/>
    <w:rsid w:val="009A76A9"/>
    <w:pPr>
      <w:keepLines/>
      <w:numPr>
        <w:numId w:val="43"/>
      </w:numPr>
      <w:spacing w:after="140" w:line="300" w:lineRule="atLeast"/>
      <w:jc w:val="both"/>
    </w:pPr>
    <w:rPr>
      <w:rFonts w:ascii="Gill Sans MT" w:eastAsia="Times New Roman" w:hAnsi="Gill Sans MT" w:cs="Times New Roman"/>
      <w:kern w:val="0"/>
      <w:sz w:val="24"/>
      <w:szCs w:val="20"/>
      <w14:ligatures w14:val="none"/>
    </w:rPr>
  </w:style>
  <w:style w:type="character" w:customStyle="1" w:styleId="NumberedListChar">
    <w:name w:val="Numbered List Char"/>
    <w:link w:val="NumberedList"/>
    <w:semiHidden/>
    <w:locked/>
    <w:rsid w:val="009A76A9"/>
    <w:rPr>
      <w:rFonts w:ascii="Gill Sans MT" w:eastAsia="Times New Roman" w:hAnsi="Gill Sans MT"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76090">
      <w:bodyDiv w:val="1"/>
      <w:marLeft w:val="0"/>
      <w:marRight w:val="0"/>
      <w:marTop w:val="0"/>
      <w:marBottom w:val="0"/>
      <w:divBdr>
        <w:top w:val="none" w:sz="0" w:space="0" w:color="auto"/>
        <w:left w:val="none" w:sz="0" w:space="0" w:color="auto"/>
        <w:bottom w:val="none" w:sz="0" w:space="0" w:color="auto"/>
        <w:right w:val="none" w:sz="0" w:space="0" w:color="auto"/>
      </w:divBdr>
    </w:div>
    <w:div w:id="782919381">
      <w:bodyDiv w:val="1"/>
      <w:marLeft w:val="0"/>
      <w:marRight w:val="0"/>
      <w:marTop w:val="0"/>
      <w:marBottom w:val="0"/>
      <w:divBdr>
        <w:top w:val="none" w:sz="0" w:space="0" w:color="auto"/>
        <w:left w:val="none" w:sz="0" w:space="0" w:color="auto"/>
        <w:bottom w:val="none" w:sz="0" w:space="0" w:color="auto"/>
        <w:right w:val="none" w:sz="0" w:space="0" w:color="auto"/>
      </w:divBdr>
    </w:div>
    <w:div w:id="1229998447">
      <w:bodyDiv w:val="1"/>
      <w:marLeft w:val="0"/>
      <w:marRight w:val="0"/>
      <w:marTop w:val="0"/>
      <w:marBottom w:val="0"/>
      <w:divBdr>
        <w:top w:val="none" w:sz="0" w:space="0" w:color="auto"/>
        <w:left w:val="none" w:sz="0" w:space="0" w:color="auto"/>
        <w:bottom w:val="none" w:sz="0" w:space="0" w:color="auto"/>
        <w:right w:val="none" w:sz="0" w:space="0" w:color="auto"/>
      </w:divBdr>
    </w:div>
    <w:div w:id="1899130449">
      <w:bodyDiv w:val="1"/>
      <w:marLeft w:val="0"/>
      <w:marRight w:val="0"/>
      <w:marTop w:val="0"/>
      <w:marBottom w:val="0"/>
      <w:divBdr>
        <w:top w:val="none" w:sz="0" w:space="0" w:color="auto"/>
        <w:left w:val="none" w:sz="0" w:space="0" w:color="auto"/>
        <w:bottom w:val="none" w:sz="0" w:space="0" w:color="auto"/>
        <w:right w:val="none" w:sz="0" w:space="0" w:color="auto"/>
      </w:divBdr>
    </w:div>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bakker\Downloa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2B4048371944A79A3D5D7C052FE964"/>
        <w:category>
          <w:name w:val="General"/>
          <w:gallery w:val="placeholder"/>
        </w:category>
        <w:types>
          <w:type w:val="bbPlcHdr"/>
        </w:types>
        <w:behaviors>
          <w:behavior w:val="content"/>
        </w:behaviors>
        <w:guid w:val="{BC16CB2D-F1D2-4C04-944E-6FFAB34AF218}"/>
      </w:docPartPr>
      <w:docPartBody>
        <w:p w:rsidR="000269B1" w:rsidRDefault="000269B1">
          <w:pPr>
            <w:pStyle w:val="BB2B4048371944A79A3D5D7C052FE964"/>
          </w:pPr>
          <w:r w:rsidRPr="00370966">
            <w:rPr>
              <w:rStyle w:val="PlaceholderText"/>
            </w:rPr>
            <w:t>[Title]</w:t>
          </w:r>
        </w:p>
      </w:docPartBody>
    </w:docPart>
    <w:docPart>
      <w:docPartPr>
        <w:name w:val="ED56CE5E59914501A54A7EA48E8F76B4"/>
        <w:category>
          <w:name w:val="General"/>
          <w:gallery w:val="placeholder"/>
        </w:category>
        <w:types>
          <w:type w:val="bbPlcHdr"/>
        </w:types>
        <w:behaviors>
          <w:behavior w:val="content"/>
        </w:behaviors>
        <w:guid w:val="{0B6667DA-9C42-4F3E-8550-F4F85788342D}"/>
      </w:docPartPr>
      <w:docPartBody>
        <w:p w:rsidR="000269B1" w:rsidRDefault="000269B1">
          <w:pPr>
            <w:pStyle w:val="ED56CE5E59914501A54A7EA48E8F76B4"/>
          </w:pPr>
          <w:r w:rsidRPr="00A11DEF">
            <w:rPr>
              <w:rStyle w:val="PlaceholderText"/>
            </w:rPr>
            <w:t>Choose an item.</w:t>
          </w:r>
        </w:p>
      </w:docPartBody>
    </w:docPart>
    <w:docPart>
      <w:docPartPr>
        <w:name w:val="04380A1EB9E14BEC8C5C6573D5E2C68E"/>
        <w:category>
          <w:name w:val="General"/>
          <w:gallery w:val="placeholder"/>
        </w:category>
        <w:types>
          <w:type w:val="bbPlcHdr"/>
        </w:types>
        <w:behaviors>
          <w:behavior w:val="content"/>
        </w:behaviors>
        <w:guid w:val="{6EB0876B-9B8B-4EFC-A4F9-46ED4906758E}"/>
      </w:docPartPr>
      <w:docPartBody>
        <w:p w:rsidR="000269B1" w:rsidRDefault="000269B1">
          <w:pPr>
            <w:pStyle w:val="04380A1EB9E14BEC8C5C6573D5E2C68E"/>
          </w:pPr>
          <w:r w:rsidRPr="00727CD6">
            <w:rPr>
              <w:rStyle w:val="PlaceholderText"/>
            </w:rPr>
            <w:t>Choose an item</w:t>
          </w:r>
          <w:r>
            <w:rPr>
              <w:rStyle w:val="PlaceholderText"/>
            </w:rPr>
            <w:t xml:space="preserve"> below</w:t>
          </w:r>
          <w:r w:rsidRPr="00727CD6">
            <w:rPr>
              <w:rStyle w:val="PlaceholderText"/>
            </w:rPr>
            <w:t>.</w:t>
          </w:r>
        </w:p>
      </w:docPartBody>
    </w:docPart>
    <w:docPart>
      <w:docPartPr>
        <w:name w:val="4DF1814F6B234DB2B71E661F1189EA9D"/>
        <w:category>
          <w:name w:val="General"/>
          <w:gallery w:val="placeholder"/>
        </w:category>
        <w:types>
          <w:type w:val="bbPlcHdr"/>
        </w:types>
        <w:behaviors>
          <w:behavior w:val="content"/>
        </w:behaviors>
        <w:guid w:val="{6528A46F-5D90-4808-93D2-1343E906CEC6}"/>
      </w:docPartPr>
      <w:docPartBody>
        <w:p w:rsidR="000269B1" w:rsidRDefault="000269B1">
          <w:pPr>
            <w:pStyle w:val="4DF1814F6B234DB2B71E661F1189EA9D"/>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1B"/>
    <w:rsid w:val="000269B1"/>
    <w:rsid w:val="0018549F"/>
    <w:rsid w:val="002A40EC"/>
    <w:rsid w:val="0044095D"/>
    <w:rsid w:val="005D7981"/>
    <w:rsid w:val="007937BE"/>
    <w:rsid w:val="00963C44"/>
    <w:rsid w:val="009D01B8"/>
    <w:rsid w:val="00A226DB"/>
    <w:rsid w:val="00B7601B"/>
    <w:rsid w:val="00B9753D"/>
    <w:rsid w:val="00C741D0"/>
    <w:rsid w:val="00E2615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2B4048371944A79A3D5D7C052FE964">
    <w:name w:val="BB2B4048371944A79A3D5D7C052FE964"/>
  </w:style>
  <w:style w:type="paragraph" w:customStyle="1" w:styleId="ED56CE5E59914501A54A7EA48E8F76B4">
    <w:name w:val="ED56CE5E59914501A54A7EA48E8F76B4"/>
  </w:style>
  <w:style w:type="paragraph" w:customStyle="1" w:styleId="04380A1EB9E14BEC8C5C6573D5E2C68E">
    <w:name w:val="04380A1EB9E14BEC8C5C6573D5E2C68E"/>
  </w:style>
  <w:style w:type="paragraph" w:customStyle="1" w:styleId="4DF1814F6B234DB2B71E661F1189EA9D">
    <w:name w:val="4DF1814F6B234DB2B71E661F1189E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25</TotalTime>
  <Pages>7</Pages>
  <Words>1723</Words>
  <Characters>10286</Characters>
  <Application>Microsoft Office Word</Application>
  <DocSecurity>0</DocSecurity>
  <Lines>204</Lines>
  <Paragraphs>85</Paragraphs>
  <ScaleCrop>false</ScaleCrop>
  <HeadingPairs>
    <vt:vector size="2" baseType="variant">
      <vt:variant>
        <vt:lpstr>Title</vt:lpstr>
      </vt:variant>
      <vt:variant>
        <vt:i4>1</vt:i4>
      </vt:variant>
    </vt:vector>
  </HeadingPairs>
  <TitlesOfParts>
    <vt:vector size="1" baseType="lpstr">
      <vt:lpstr>Case Conferencing Facilitator</vt:lpstr>
    </vt:vector>
  </TitlesOfParts>
  <Manager/>
  <Company>Tasmanian Government - Department for Education, Children and Young People</Company>
  <LinksUpToDate>false</LinksUpToDate>
  <CharactersWithSpaces>11941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Conferencing Facilitator</dc:title>
  <dc:subject/>
  <dc:creator>Hopkins, Rebecca</dc:creator>
  <cp:keywords/>
  <dc:description/>
  <cp:lastModifiedBy>Bakker, Gabriele</cp:lastModifiedBy>
  <cp:revision>4</cp:revision>
  <cp:lastPrinted>2025-07-03T03:49:00Z</cp:lastPrinted>
  <dcterms:created xsi:type="dcterms:W3CDTF">2025-07-03T03:48:00Z</dcterms:created>
  <dcterms:modified xsi:type="dcterms:W3CDTF">2025-07-03T03:50:00Z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