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DA5" w:rsidRPr="00DA1BA1" w:rsidRDefault="00154BEB" w:rsidP="00914655">
      <w:pPr>
        <w:pStyle w:val="Title"/>
      </w:pPr>
      <w:r w:rsidRPr="00DA1BA1">
        <w:t xml:space="preserve"> </w:t>
      </w:r>
      <w:r w:rsidR="00186DA5" w:rsidRPr="00DA1BA1">
        <w:t>Department of Education</w:t>
      </w:r>
    </w:p>
    <w:p w:rsidR="00186DA5" w:rsidRPr="00DA1BA1" w:rsidRDefault="00186DA5" w:rsidP="00A97B81">
      <w:pPr>
        <w:pStyle w:val="Heading1"/>
      </w:pPr>
      <w:r w:rsidRPr="00DA1BA1">
        <w:t xml:space="preserve">STATEMENT OF DUTIES – </w:t>
      </w:r>
      <w:r w:rsidR="00F92E2A">
        <w:t>September 2017</w:t>
      </w:r>
    </w:p>
    <w:tbl>
      <w:tblPr>
        <w:tblW w:w="9826" w:type="dxa"/>
        <w:tblInd w:w="108" w:type="dxa"/>
        <w:tblLayout w:type="fixed"/>
        <w:tblLook w:val="0000" w:firstRow="0" w:lastRow="0" w:firstColumn="0" w:lastColumn="0" w:noHBand="0" w:noVBand="0"/>
      </w:tblPr>
      <w:tblGrid>
        <w:gridCol w:w="3261"/>
        <w:gridCol w:w="6565"/>
      </w:tblGrid>
      <w:tr w:rsidR="00186DA5" w:rsidRPr="00DA1BA1" w:rsidTr="00A97B81">
        <w:trPr>
          <w:cantSplit/>
          <w:tblHeader/>
        </w:trPr>
        <w:tc>
          <w:tcPr>
            <w:tcW w:w="3261" w:type="dxa"/>
          </w:tcPr>
          <w:p w:rsidR="00186DA5" w:rsidRPr="000B5356" w:rsidRDefault="00186DA5" w:rsidP="001215F1">
            <w:pPr>
              <w:spacing w:before="60" w:after="60"/>
              <w:jc w:val="right"/>
              <w:rPr>
                <w:b/>
              </w:rPr>
            </w:pPr>
            <w:r w:rsidRPr="000B5356">
              <w:rPr>
                <w:b/>
              </w:rPr>
              <w:t>Title</w:t>
            </w:r>
          </w:p>
        </w:tc>
        <w:tc>
          <w:tcPr>
            <w:tcW w:w="6565" w:type="dxa"/>
          </w:tcPr>
          <w:p w:rsidR="00186DA5" w:rsidRPr="00151C10" w:rsidRDefault="00F92E2A" w:rsidP="00737413">
            <w:pPr>
              <w:spacing w:before="60" w:after="60"/>
              <w:rPr>
                <w:szCs w:val="24"/>
              </w:rPr>
            </w:pPr>
            <w:r>
              <w:rPr>
                <w:bCs/>
              </w:rPr>
              <w:t>Education and Care</w:t>
            </w:r>
            <w:r w:rsidRPr="00DD7FF5">
              <w:rPr>
                <w:bCs/>
              </w:rPr>
              <w:t xml:space="preserve"> </w:t>
            </w:r>
            <w:r>
              <w:rPr>
                <w:bCs/>
              </w:rPr>
              <w:t>Regulatory Officer</w:t>
            </w:r>
          </w:p>
        </w:tc>
      </w:tr>
      <w:tr w:rsidR="00186DA5" w:rsidRPr="00DA1BA1" w:rsidTr="00A97B81">
        <w:trPr>
          <w:cantSplit/>
          <w:tblHeader/>
        </w:trPr>
        <w:tc>
          <w:tcPr>
            <w:tcW w:w="3261" w:type="dxa"/>
          </w:tcPr>
          <w:p w:rsidR="00186DA5" w:rsidRPr="000B5356" w:rsidRDefault="00186DA5" w:rsidP="001215F1">
            <w:pPr>
              <w:spacing w:before="60" w:after="60"/>
              <w:jc w:val="right"/>
              <w:rPr>
                <w:b/>
              </w:rPr>
            </w:pPr>
            <w:r w:rsidRPr="000B5356">
              <w:rPr>
                <w:b/>
              </w:rPr>
              <w:t>Number</w:t>
            </w:r>
          </w:p>
        </w:tc>
        <w:tc>
          <w:tcPr>
            <w:tcW w:w="6565" w:type="dxa"/>
          </w:tcPr>
          <w:p w:rsidR="00186DA5" w:rsidRPr="00DA1BA1" w:rsidRDefault="008C4AF1" w:rsidP="00206908">
            <w:pPr>
              <w:spacing w:before="60" w:after="60"/>
              <w:rPr>
                <w:szCs w:val="24"/>
              </w:rPr>
            </w:pPr>
            <w:r>
              <w:t>Generic</w:t>
            </w:r>
          </w:p>
        </w:tc>
      </w:tr>
      <w:tr w:rsidR="00186DA5" w:rsidRPr="00DA1BA1" w:rsidTr="00A97B81">
        <w:trPr>
          <w:cantSplit/>
          <w:tblHeader/>
        </w:trPr>
        <w:tc>
          <w:tcPr>
            <w:tcW w:w="3261" w:type="dxa"/>
          </w:tcPr>
          <w:p w:rsidR="00186DA5" w:rsidRPr="000B5356" w:rsidRDefault="00186DA5" w:rsidP="001215F1">
            <w:pPr>
              <w:pStyle w:val="Heading3"/>
              <w:spacing w:before="60" w:after="60"/>
              <w:jc w:val="right"/>
              <w:rPr>
                <w:color w:val="auto"/>
                <w:szCs w:val="24"/>
              </w:rPr>
            </w:pPr>
            <w:r w:rsidRPr="000B5356">
              <w:rPr>
                <w:color w:val="auto"/>
                <w:szCs w:val="24"/>
              </w:rPr>
              <w:t>Division</w:t>
            </w:r>
          </w:p>
        </w:tc>
        <w:tc>
          <w:tcPr>
            <w:tcW w:w="6565" w:type="dxa"/>
          </w:tcPr>
          <w:p w:rsidR="00186DA5" w:rsidRPr="00DA1BA1" w:rsidRDefault="00F92E2A" w:rsidP="007D35B1">
            <w:pPr>
              <w:spacing w:before="60" w:after="60"/>
              <w:rPr>
                <w:szCs w:val="24"/>
              </w:rPr>
            </w:pPr>
            <w:r>
              <w:rPr>
                <w:szCs w:val="24"/>
              </w:rPr>
              <w:t>Strategy and Performance</w:t>
            </w:r>
          </w:p>
        </w:tc>
      </w:tr>
      <w:tr w:rsidR="00186DA5" w:rsidRPr="00DA1BA1" w:rsidTr="00A97B81">
        <w:trPr>
          <w:cantSplit/>
          <w:tblHeader/>
        </w:trPr>
        <w:tc>
          <w:tcPr>
            <w:tcW w:w="3261" w:type="dxa"/>
          </w:tcPr>
          <w:p w:rsidR="00186DA5" w:rsidRPr="000B5356" w:rsidRDefault="00186DA5" w:rsidP="001215F1">
            <w:pPr>
              <w:pStyle w:val="Heading3"/>
              <w:spacing w:before="60" w:after="60"/>
              <w:jc w:val="right"/>
              <w:rPr>
                <w:color w:val="auto"/>
                <w:szCs w:val="24"/>
              </w:rPr>
            </w:pPr>
            <w:r w:rsidRPr="000B5356">
              <w:rPr>
                <w:color w:val="auto"/>
                <w:szCs w:val="24"/>
              </w:rPr>
              <w:t>Branch</w:t>
            </w:r>
          </w:p>
        </w:tc>
        <w:tc>
          <w:tcPr>
            <w:tcW w:w="6565" w:type="dxa"/>
          </w:tcPr>
          <w:p w:rsidR="00186DA5" w:rsidRPr="00DA1BA1" w:rsidRDefault="00F92E2A" w:rsidP="007D35B1">
            <w:pPr>
              <w:spacing w:before="60" w:after="60"/>
              <w:rPr>
                <w:szCs w:val="24"/>
              </w:rPr>
            </w:pPr>
            <w:r>
              <w:rPr>
                <w:szCs w:val="24"/>
              </w:rPr>
              <w:t>Education and Care Unit</w:t>
            </w:r>
          </w:p>
        </w:tc>
      </w:tr>
      <w:tr w:rsidR="00186DA5" w:rsidRPr="00DA1BA1" w:rsidTr="00A97B81">
        <w:trPr>
          <w:cantSplit/>
          <w:tblHeader/>
        </w:trPr>
        <w:tc>
          <w:tcPr>
            <w:tcW w:w="3261" w:type="dxa"/>
          </w:tcPr>
          <w:p w:rsidR="00186DA5" w:rsidRPr="000B5356" w:rsidRDefault="00186DA5" w:rsidP="001215F1">
            <w:pPr>
              <w:pStyle w:val="Heading3"/>
              <w:spacing w:before="60" w:after="60"/>
              <w:jc w:val="right"/>
              <w:rPr>
                <w:color w:val="auto"/>
                <w:szCs w:val="24"/>
              </w:rPr>
            </w:pPr>
            <w:r w:rsidRPr="000B5356">
              <w:rPr>
                <w:color w:val="auto"/>
                <w:szCs w:val="24"/>
              </w:rPr>
              <w:t>Section</w:t>
            </w:r>
          </w:p>
        </w:tc>
        <w:tc>
          <w:tcPr>
            <w:tcW w:w="6565" w:type="dxa"/>
          </w:tcPr>
          <w:p w:rsidR="00186DA5" w:rsidRPr="00DA1BA1" w:rsidRDefault="00F92E2A" w:rsidP="007D35B1">
            <w:pPr>
              <w:spacing w:before="60" w:after="60"/>
              <w:rPr>
                <w:szCs w:val="24"/>
              </w:rPr>
            </w:pPr>
            <w:r>
              <w:rPr>
                <w:szCs w:val="24"/>
              </w:rPr>
              <w:t>N/A</w:t>
            </w:r>
          </w:p>
        </w:tc>
      </w:tr>
      <w:tr w:rsidR="00186DA5" w:rsidRPr="00DA1BA1" w:rsidTr="00A97B81">
        <w:trPr>
          <w:cantSplit/>
          <w:tblHeader/>
        </w:trPr>
        <w:tc>
          <w:tcPr>
            <w:tcW w:w="3261" w:type="dxa"/>
          </w:tcPr>
          <w:p w:rsidR="00186DA5" w:rsidRPr="000B5356" w:rsidRDefault="00186DA5" w:rsidP="001215F1">
            <w:pPr>
              <w:pStyle w:val="Heading3"/>
              <w:spacing w:before="60" w:after="60"/>
              <w:jc w:val="right"/>
              <w:rPr>
                <w:color w:val="auto"/>
                <w:szCs w:val="24"/>
              </w:rPr>
            </w:pPr>
            <w:r w:rsidRPr="000B5356">
              <w:rPr>
                <w:color w:val="auto"/>
                <w:szCs w:val="24"/>
              </w:rPr>
              <w:t>Sub-Section/Unit/School</w:t>
            </w:r>
          </w:p>
        </w:tc>
        <w:tc>
          <w:tcPr>
            <w:tcW w:w="6565" w:type="dxa"/>
          </w:tcPr>
          <w:p w:rsidR="00186DA5" w:rsidRPr="00DA1BA1" w:rsidRDefault="00F92E2A" w:rsidP="007D35B1">
            <w:pPr>
              <w:spacing w:before="60" w:after="60"/>
              <w:rPr>
                <w:szCs w:val="24"/>
              </w:rPr>
            </w:pPr>
            <w:r>
              <w:rPr>
                <w:szCs w:val="24"/>
              </w:rPr>
              <w:t>N/A</w:t>
            </w:r>
          </w:p>
        </w:tc>
      </w:tr>
      <w:tr w:rsidR="00186DA5" w:rsidRPr="00DA1BA1" w:rsidTr="00A97B81">
        <w:trPr>
          <w:cantSplit/>
          <w:tblHeader/>
        </w:trPr>
        <w:tc>
          <w:tcPr>
            <w:tcW w:w="3261" w:type="dxa"/>
          </w:tcPr>
          <w:p w:rsidR="00186DA5" w:rsidRPr="000B5356" w:rsidRDefault="00186DA5" w:rsidP="001215F1">
            <w:pPr>
              <w:spacing w:before="60" w:after="60"/>
              <w:jc w:val="right"/>
              <w:rPr>
                <w:b/>
              </w:rPr>
            </w:pPr>
            <w:r w:rsidRPr="000B5356">
              <w:rPr>
                <w:b/>
              </w:rPr>
              <w:t>Supervisor</w:t>
            </w:r>
          </w:p>
        </w:tc>
        <w:tc>
          <w:tcPr>
            <w:tcW w:w="6565" w:type="dxa"/>
          </w:tcPr>
          <w:p w:rsidR="00186DA5" w:rsidRPr="00DA1BA1" w:rsidRDefault="00F92E2A" w:rsidP="007D35B1">
            <w:pPr>
              <w:spacing w:before="60" w:after="60"/>
              <w:rPr>
                <w:szCs w:val="24"/>
              </w:rPr>
            </w:pPr>
            <w:r>
              <w:rPr>
                <w:szCs w:val="24"/>
              </w:rPr>
              <w:t>Education and Care Team Leader</w:t>
            </w:r>
          </w:p>
        </w:tc>
      </w:tr>
      <w:tr w:rsidR="00186DA5" w:rsidRPr="00DA1BA1" w:rsidTr="00A97B81">
        <w:trPr>
          <w:cantSplit/>
          <w:tblHeader/>
        </w:trPr>
        <w:tc>
          <w:tcPr>
            <w:tcW w:w="3261" w:type="dxa"/>
          </w:tcPr>
          <w:p w:rsidR="00186DA5" w:rsidRPr="000B5356" w:rsidRDefault="00186DA5" w:rsidP="001215F1">
            <w:pPr>
              <w:spacing w:before="60" w:after="60"/>
              <w:jc w:val="right"/>
              <w:rPr>
                <w:b/>
              </w:rPr>
            </w:pPr>
            <w:r w:rsidRPr="000B5356">
              <w:rPr>
                <w:b/>
              </w:rPr>
              <w:t>Award/Agreement</w:t>
            </w:r>
          </w:p>
        </w:tc>
        <w:tc>
          <w:tcPr>
            <w:tcW w:w="6565" w:type="dxa"/>
          </w:tcPr>
          <w:p w:rsidR="003064AF" w:rsidRPr="00DA1BA1" w:rsidRDefault="000075E4" w:rsidP="00F92E2A">
            <w:pPr>
              <w:spacing w:before="60" w:after="60"/>
              <w:rPr>
                <w:szCs w:val="24"/>
              </w:rPr>
            </w:pPr>
            <w:r>
              <w:rPr>
                <w:szCs w:val="24"/>
              </w:rPr>
              <w:t>Tasmanian</w:t>
            </w:r>
            <w:r w:rsidR="00FC6C06">
              <w:rPr>
                <w:szCs w:val="24"/>
              </w:rPr>
              <w:t xml:space="preserve"> State Service Award</w:t>
            </w:r>
          </w:p>
        </w:tc>
      </w:tr>
      <w:tr w:rsidR="00186DA5" w:rsidRPr="00DA1BA1" w:rsidTr="00A97B81">
        <w:trPr>
          <w:cantSplit/>
          <w:tblHeader/>
        </w:trPr>
        <w:tc>
          <w:tcPr>
            <w:tcW w:w="3261" w:type="dxa"/>
          </w:tcPr>
          <w:p w:rsidR="00186DA5" w:rsidRPr="000B5356" w:rsidRDefault="00186DA5" w:rsidP="001215F1">
            <w:pPr>
              <w:spacing w:before="60" w:after="60"/>
              <w:jc w:val="right"/>
              <w:rPr>
                <w:b/>
              </w:rPr>
            </w:pPr>
            <w:r w:rsidRPr="000B5356">
              <w:rPr>
                <w:b/>
              </w:rPr>
              <w:t>Classification</w:t>
            </w:r>
          </w:p>
        </w:tc>
        <w:tc>
          <w:tcPr>
            <w:tcW w:w="6565" w:type="dxa"/>
          </w:tcPr>
          <w:p w:rsidR="00FC6C06" w:rsidRPr="00DA1BA1" w:rsidRDefault="00FC6C06" w:rsidP="00F92E2A">
            <w:pPr>
              <w:spacing w:before="60" w:after="60"/>
              <w:rPr>
                <w:szCs w:val="24"/>
              </w:rPr>
            </w:pPr>
            <w:r>
              <w:rPr>
                <w:szCs w:val="24"/>
              </w:rPr>
              <w:t xml:space="preserve">General Stream Band </w:t>
            </w:r>
            <w:r w:rsidR="00F92E2A">
              <w:rPr>
                <w:szCs w:val="24"/>
              </w:rPr>
              <w:t>6</w:t>
            </w:r>
          </w:p>
        </w:tc>
      </w:tr>
      <w:tr w:rsidR="00186DA5" w:rsidRPr="00DA1BA1" w:rsidTr="00A97B81">
        <w:trPr>
          <w:cantSplit/>
          <w:tblHeader/>
        </w:trPr>
        <w:tc>
          <w:tcPr>
            <w:tcW w:w="3261" w:type="dxa"/>
          </w:tcPr>
          <w:p w:rsidR="00186DA5" w:rsidRPr="00DA1BA1" w:rsidRDefault="00186DA5" w:rsidP="001215F1">
            <w:pPr>
              <w:spacing w:before="60" w:after="60"/>
              <w:jc w:val="right"/>
              <w:rPr>
                <w:b/>
              </w:rPr>
            </w:pPr>
            <w:r w:rsidRPr="00DA1BA1">
              <w:rPr>
                <w:b/>
              </w:rPr>
              <w:t>Employment Conditions</w:t>
            </w:r>
          </w:p>
        </w:tc>
        <w:tc>
          <w:tcPr>
            <w:tcW w:w="6565" w:type="dxa"/>
          </w:tcPr>
          <w:p w:rsidR="00177261" w:rsidRDefault="00E57665" w:rsidP="00F92E2A">
            <w:pPr>
              <w:pStyle w:val="BodyText2"/>
              <w:spacing w:before="60" w:after="60"/>
              <w:rPr>
                <w:rFonts w:ascii="Gill Sans MT" w:hAnsi="Gill Sans MT"/>
                <w:bCs/>
                <w:sz w:val="24"/>
                <w:szCs w:val="24"/>
              </w:rPr>
            </w:pPr>
            <w:r w:rsidRPr="00DA1BA1">
              <w:rPr>
                <w:rFonts w:ascii="Gill Sans MT" w:hAnsi="Gill Sans MT"/>
                <w:bCs/>
                <w:sz w:val="24"/>
                <w:szCs w:val="24"/>
              </w:rPr>
              <w:t>Permanent</w:t>
            </w:r>
            <w:r w:rsidR="00FD5A58">
              <w:rPr>
                <w:rFonts w:ascii="Gill Sans MT" w:hAnsi="Gill Sans MT"/>
                <w:bCs/>
                <w:sz w:val="24"/>
                <w:szCs w:val="24"/>
              </w:rPr>
              <w:t xml:space="preserve"> or fixed term</w:t>
            </w:r>
            <w:r w:rsidRPr="00DA1BA1">
              <w:rPr>
                <w:rFonts w:ascii="Gill Sans MT" w:hAnsi="Gill Sans MT"/>
                <w:bCs/>
                <w:sz w:val="24"/>
                <w:szCs w:val="24"/>
              </w:rPr>
              <w:t>, full time, 73.5 hours per fortnight, 52 weeks per year including 4 weeks annual leave.</w:t>
            </w:r>
          </w:p>
          <w:p w:rsidR="003A2483" w:rsidRPr="00DA1BA1" w:rsidRDefault="00177261" w:rsidP="00F92E2A">
            <w:pPr>
              <w:pStyle w:val="BodyText2"/>
              <w:spacing w:before="60" w:after="60"/>
              <w:rPr>
                <w:rFonts w:ascii="Gill Sans MT" w:hAnsi="Gill Sans MT"/>
                <w:sz w:val="24"/>
                <w:szCs w:val="24"/>
              </w:rPr>
            </w:pPr>
            <w:r>
              <w:rPr>
                <w:rFonts w:ascii="Gill Sans MT" w:hAnsi="Gill Sans MT"/>
                <w:bCs/>
                <w:sz w:val="24"/>
                <w:szCs w:val="24"/>
              </w:rPr>
              <w:t>Some intrastate and interstate travel may be required.</w:t>
            </w:r>
            <w:r w:rsidR="00E57665" w:rsidRPr="00DA1BA1">
              <w:rPr>
                <w:rFonts w:ascii="Gill Sans MT" w:hAnsi="Gill Sans MT"/>
                <w:bCs/>
                <w:sz w:val="24"/>
                <w:szCs w:val="24"/>
              </w:rPr>
              <w:t xml:space="preserve"> </w:t>
            </w:r>
          </w:p>
        </w:tc>
      </w:tr>
      <w:tr w:rsidR="00186DA5" w:rsidRPr="00DA1BA1" w:rsidTr="00A97B81">
        <w:trPr>
          <w:cantSplit/>
          <w:trHeight w:val="194"/>
          <w:tblHeader/>
        </w:trPr>
        <w:tc>
          <w:tcPr>
            <w:tcW w:w="3261" w:type="dxa"/>
          </w:tcPr>
          <w:p w:rsidR="00186DA5" w:rsidRPr="00DA1BA1" w:rsidRDefault="00186DA5" w:rsidP="001215F1">
            <w:pPr>
              <w:spacing w:before="60" w:after="60"/>
              <w:jc w:val="right"/>
              <w:rPr>
                <w:b/>
                <w:bCs/>
              </w:rPr>
            </w:pPr>
            <w:r w:rsidRPr="00DA1BA1">
              <w:rPr>
                <w:b/>
              </w:rPr>
              <w:t>Location</w:t>
            </w:r>
          </w:p>
        </w:tc>
        <w:tc>
          <w:tcPr>
            <w:tcW w:w="6565" w:type="dxa"/>
          </w:tcPr>
          <w:p w:rsidR="00FC6C06" w:rsidRPr="00DA1BA1" w:rsidRDefault="003064AF" w:rsidP="00177261">
            <w:pPr>
              <w:spacing w:before="60" w:after="60"/>
              <w:rPr>
                <w:szCs w:val="24"/>
              </w:rPr>
            </w:pPr>
            <w:proofErr w:type="spellStart"/>
            <w:r>
              <w:rPr>
                <w:szCs w:val="24"/>
              </w:rPr>
              <w:t>S</w:t>
            </w:r>
            <w:r w:rsidR="00327038">
              <w:rPr>
                <w:szCs w:val="24"/>
              </w:rPr>
              <w:t>tatewide</w:t>
            </w:r>
            <w:bookmarkStart w:id="0" w:name="_GoBack"/>
            <w:bookmarkEnd w:id="0"/>
            <w:proofErr w:type="spellEnd"/>
          </w:p>
        </w:tc>
      </w:tr>
    </w:tbl>
    <w:p w:rsidR="00186DA5" w:rsidRPr="00DA1BA1" w:rsidRDefault="00186DA5" w:rsidP="00A97B81">
      <w:pPr>
        <w:pStyle w:val="Heading2"/>
      </w:pPr>
      <w:r w:rsidRPr="00DA1BA1">
        <w:t>The Role</w:t>
      </w:r>
    </w:p>
    <w:p w:rsidR="00151C10" w:rsidRPr="00525372" w:rsidRDefault="00F92E2A" w:rsidP="008A5726">
      <w:pPr>
        <w:rPr>
          <w:color w:val="ED7D31"/>
        </w:rPr>
      </w:pPr>
      <w:r w:rsidRPr="00C92907">
        <w:rPr>
          <w:szCs w:val="22"/>
        </w:rPr>
        <w:t xml:space="preserve">To undertake complex regulatory and research activities </w:t>
      </w:r>
      <w:r>
        <w:rPr>
          <w:szCs w:val="22"/>
        </w:rPr>
        <w:t xml:space="preserve">that </w:t>
      </w:r>
      <w:r w:rsidRPr="00C92907">
        <w:rPr>
          <w:szCs w:val="22"/>
        </w:rPr>
        <w:t>support compliance</w:t>
      </w:r>
      <w:r>
        <w:rPr>
          <w:szCs w:val="22"/>
        </w:rPr>
        <w:t xml:space="preserve"> </w:t>
      </w:r>
      <w:r w:rsidRPr="00C92907">
        <w:rPr>
          <w:szCs w:val="22"/>
        </w:rPr>
        <w:t xml:space="preserve">and continuous improvement in the quality of education and care services and specified child care services provided to children.  </w:t>
      </w:r>
      <w:r w:rsidRPr="002E4645">
        <w:t xml:space="preserve">Develop and disseminate high quality child care policy and lead the development of projects in the </w:t>
      </w:r>
      <w:r>
        <w:t>Education and Care Unit</w:t>
      </w:r>
      <w:r w:rsidRPr="002E4645">
        <w:t xml:space="preserve">. </w:t>
      </w:r>
      <w:r>
        <w:t xml:space="preserve">Support </w:t>
      </w:r>
      <w:r w:rsidRPr="002E4645">
        <w:t xml:space="preserve">staff providing </w:t>
      </w:r>
      <w:r>
        <w:t xml:space="preserve">regulatory, quality assessment, </w:t>
      </w:r>
      <w:r w:rsidRPr="002E4645">
        <w:t xml:space="preserve">project based </w:t>
      </w:r>
      <w:r>
        <w:t xml:space="preserve">and business support </w:t>
      </w:r>
      <w:r w:rsidRPr="002E4645">
        <w:t>functions to the Unit.</w:t>
      </w:r>
    </w:p>
    <w:p w:rsidR="005413CE" w:rsidRPr="00DA1BA1" w:rsidRDefault="00186DA5" w:rsidP="00A97B81">
      <w:pPr>
        <w:pStyle w:val="Heading3"/>
      </w:pPr>
      <w:r w:rsidRPr="00DA1BA1">
        <w:t>Level of Responsibility/ Direction and Supervision</w:t>
      </w:r>
    </w:p>
    <w:p w:rsidR="00077F66" w:rsidRDefault="00F92E2A" w:rsidP="00F92E2A">
      <w:pPr>
        <w:rPr>
          <w:szCs w:val="22"/>
        </w:rPr>
      </w:pPr>
      <w:r w:rsidRPr="00C92907">
        <w:rPr>
          <w:szCs w:val="22"/>
        </w:rPr>
        <w:t xml:space="preserve">The occupant is required to make informed decisions and provide recommendations in relation to </w:t>
      </w:r>
      <w:r>
        <w:rPr>
          <w:szCs w:val="22"/>
        </w:rPr>
        <w:t xml:space="preserve">quality assessment and compliance </w:t>
      </w:r>
      <w:r w:rsidRPr="00C92907">
        <w:rPr>
          <w:szCs w:val="22"/>
        </w:rPr>
        <w:t xml:space="preserve">of education and care and child care services.  </w:t>
      </w:r>
      <w:r w:rsidRPr="00DD7FF5">
        <w:t xml:space="preserve">Responsible </w:t>
      </w:r>
      <w:r>
        <w:t xml:space="preserve">for efficient and effective </w:t>
      </w:r>
      <w:r w:rsidRPr="002E4645">
        <w:t>consultation and development of documentation</w:t>
      </w:r>
      <w:r w:rsidRPr="00DD7FF5">
        <w:t xml:space="preserve"> </w:t>
      </w:r>
      <w:r>
        <w:t xml:space="preserve">and </w:t>
      </w:r>
      <w:r w:rsidRPr="00DD7FF5">
        <w:t xml:space="preserve">for the provision of relevant and appropriate advice and expertise to the </w:t>
      </w:r>
      <w:r>
        <w:t>Team Leader</w:t>
      </w:r>
      <w:r w:rsidRPr="00DD7FF5">
        <w:t xml:space="preserve">, </w:t>
      </w:r>
      <w:r>
        <w:t xml:space="preserve">education and care </w:t>
      </w:r>
      <w:r w:rsidRPr="00DD7FF5">
        <w:t xml:space="preserve"> providers, clients and other groups.</w:t>
      </w:r>
      <w:r>
        <w:t xml:space="preserve"> </w:t>
      </w:r>
      <w:r w:rsidRPr="00C92907">
        <w:rPr>
          <w:szCs w:val="22"/>
        </w:rPr>
        <w:t xml:space="preserve">General direction is provided by the supervisor who will set the overall strategic goals and objectives. The occupant is expected to operate with independence and autonomy on a day-to-day basis.  Act as an Authorised Officer under the Education and Care Services National Law Act (Tasmania) 2011 and the </w:t>
      </w:r>
      <w:r w:rsidRPr="00C92907">
        <w:rPr>
          <w:i/>
          <w:szCs w:val="22"/>
        </w:rPr>
        <w:t>Child Care Act 2001</w:t>
      </w:r>
      <w:r w:rsidRPr="00C92907">
        <w:rPr>
          <w:szCs w:val="22"/>
        </w:rPr>
        <w:t>.</w:t>
      </w:r>
    </w:p>
    <w:p w:rsidR="00077F66" w:rsidRDefault="00077F66">
      <w:pPr>
        <w:rPr>
          <w:szCs w:val="22"/>
        </w:rPr>
      </w:pPr>
      <w:r>
        <w:rPr>
          <w:szCs w:val="22"/>
        </w:rPr>
        <w:br w:type="page"/>
      </w:r>
    </w:p>
    <w:p w:rsidR="00F92E2A" w:rsidRPr="000B6CA7" w:rsidRDefault="00F92E2A" w:rsidP="00F92E2A">
      <w:pPr>
        <w:spacing w:before="120" w:after="120"/>
      </w:pPr>
      <w:r w:rsidRPr="000B6CA7">
        <w:lastRenderedPageBreak/>
        <w:t>The department has a range of delegations in operational areas including Finance, H</w:t>
      </w:r>
      <w:r w:rsidR="00077F66">
        <w:t xml:space="preserve">uman Resources and Facilities. </w:t>
      </w:r>
      <w:r w:rsidRPr="000B6CA7">
        <w:t>The occupant is responsible for ascertaining the delegations that are assigned to these duties and is expected to exercise any applicable delegations prudently and in accordance with any specified limitations.</w:t>
      </w:r>
    </w:p>
    <w:p w:rsidR="001371B5" w:rsidRDefault="00713C53" w:rsidP="00A97B81">
      <w:pPr>
        <w:pStyle w:val="Heading3"/>
      </w:pPr>
      <w:r>
        <w:t>Primary Duties</w:t>
      </w:r>
    </w:p>
    <w:p w:rsidR="00F92E2A" w:rsidRPr="00C92907" w:rsidRDefault="00F92E2A" w:rsidP="00EF52F3">
      <w:pPr>
        <w:numPr>
          <w:ilvl w:val="0"/>
          <w:numId w:val="37"/>
        </w:numPr>
        <w:spacing w:after="120"/>
        <w:jc w:val="both"/>
        <w:rPr>
          <w:szCs w:val="22"/>
        </w:rPr>
      </w:pPr>
      <w:r>
        <w:rPr>
          <w:szCs w:val="22"/>
        </w:rPr>
        <w:t xml:space="preserve">Administer regulatory processes under the </w:t>
      </w:r>
      <w:r>
        <w:t xml:space="preserve">Education and Care Services National Law (Tasmania) and the </w:t>
      </w:r>
      <w:r w:rsidRPr="00DD7FF5">
        <w:rPr>
          <w:i/>
        </w:rPr>
        <w:t>Child Care Act 2001</w:t>
      </w:r>
      <w:r w:rsidRPr="00511684">
        <w:rPr>
          <w:szCs w:val="22"/>
        </w:rPr>
        <w:t xml:space="preserve"> </w:t>
      </w:r>
      <w:r w:rsidRPr="00C92907">
        <w:rPr>
          <w:szCs w:val="22"/>
        </w:rPr>
        <w:t>as required/delegated</w:t>
      </w:r>
      <w:r>
        <w:rPr>
          <w:i/>
        </w:rPr>
        <w:t>, including</w:t>
      </w:r>
      <w:r w:rsidRPr="00C92907">
        <w:rPr>
          <w:szCs w:val="22"/>
        </w:rPr>
        <w:t xml:space="preserve"> approvals and assessments</w:t>
      </w:r>
      <w:r>
        <w:rPr>
          <w:szCs w:val="22"/>
        </w:rPr>
        <w:t>.</w:t>
      </w:r>
    </w:p>
    <w:p w:rsidR="00F92E2A" w:rsidRPr="00004556" w:rsidRDefault="00F92E2A" w:rsidP="00EF52F3">
      <w:pPr>
        <w:numPr>
          <w:ilvl w:val="0"/>
          <w:numId w:val="37"/>
        </w:numPr>
        <w:tabs>
          <w:tab w:val="left" w:pos="720"/>
        </w:tabs>
        <w:spacing w:after="120"/>
      </w:pPr>
      <w:r w:rsidRPr="00004556">
        <w:t>Review recommendations from staff on applications</w:t>
      </w:r>
      <w:r>
        <w:t xml:space="preserve"> and assessment reports</w:t>
      </w:r>
      <w:r w:rsidRPr="00004556">
        <w:t xml:space="preserve"> under the Education and Care Services National Law (Tasmania) and</w:t>
      </w:r>
      <w:r>
        <w:t>/or</w:t>
      </w:r>
      <w:r w:rsidRPr="00004556">
        <w:t xml:space="preserve"> the </w:t>
      </w:r>
      <w:r w:rsidRPr="00004556">
        <w:rPr>
          <w:i/>
        </w:rPr>
        <w:t xml:space="preserve">Child Care Act 2001, </w:t>
      </w:r>
      <w:r w:rsidRPr="00004556">
        <w:t xml:space="preserve">investigate the more complex </w:t>
      </w:r>
      <w:r>
        <w:t xml:space="preserve">situations or </w:t>
      </w:r>
      <w:r w:rsidRPr="00004556">
        <w:t>applications</w:t>
      </w:r>
      <w:r w:rsidRPr="00DD7FF5">
        <w:t xml:space="preserve"> </w:t>
      </w:r>
      <w:r w:rsidRPr="00004556">
        <w:t>and where required escalate to Team Leader for consideration.</w:t>
      </w:r>
    </w:p>
    <w:p w:rsidR="00F92E2A" w:rsidRPr="002E4645" w:rsidRDefault="00F92E2A" w:rsidP="00EF52F3">
      <w:pPr>
        <w:numPr>
          <w:ilvl w:val="0"/>
          <w:numId w:val="37"/>
        </w:numPr>
        <w:spacing w:after="120"/>
      </w:pPr>
      <w:r>
        <w:t>P</w:t>
      </w:r>
      <w:r w:rsidRPr="002E4645">
        <w:t>rovide advice, assistance and support to staff to ensure that an efficient and timely service is provided</w:t>
      </w:r>
      <w:r w:rsidRPr="00724BB8">
        <w:t xml:space="preserve"> </w:t>
      </w:r>
      <w:r w:rsidRPr="00DD7FF5">
        <w:t>within the assigned area.</w:t>
      </w:r>
    </w:p>
    <w:p w:rsidR="00F92E2A" w:rsidRPr="00DD7FF5" w:rsidRDefault="00F92E2A" w:rsidP="00EF52F3">
      <w:pPr>
        <w:numPr>
          <w:ilvl w:val="0"/>
          <w:numId w:val="37"/>
        </w:numPr>
        <w:tabs>
          <w:tab w:val="left" w:pos="720"/>
        </w:tabs>
        <w:spacing w:after="120"/>
      </w:pPr>
      <w:r w:rsidRPr="00DD7FF5">
        <w:t xml:space="preserve">Monitor and evaluate </w:t>
      </w:r>
      <w:r>
        <w:t xml:space="preserve">education and care </w:t>
      </w:r>
      <w:r w:rsidRPr="00DD7FF5">
        <w:t xml:space="preserve"> services within an assigned area, including inspection of </w:t>
      </w:r>
      <w:r>
        <w:t xml:space="preserve">approved and </w:t>
      </w:r>
      <w:r w:rsidRPr="00DD7FF5">
        <w:t>licensed services and evaluation of services for compliance with</w:t>
      </w:r>
      <w:r>
        <w:rPr>
          <w:i/>
        </w:rPr>
        <w:t xml:space="preserve"> </w:t>
      </w:r>
      <w:r>
        <w:t xml:space="preserve">the Education and Care Services National Law (Tasmania) and </w:t>
      </w:r>
      <w:r w:rsidRPr="00DD7FF5">
        <w:t xml:space="preserve">gazetted standards under the </w:t>
      </w:r>
      <w:r w:rsidRPr="00DD7FF5">
        <w:rPr>
          <w:i/>
        </w:rPr>
        <w:t>Child Care Act (2001)</w:t>
      </w:r>
      <w:r w:rsidRPr="00DD7FF5">
        <w:t>.</w:t>
      </w:r>
    </w:p>
    <w:p w:rsidR="00F92E2A" w:rsidRPr="00DD7FF5" w:rsidRDefault="00F92E2A" w:rsidP="00EF52F3">
      <w:pPr>
        <w:numPr>
          <w:ilvl w:val="0"/>
          <w:numId w:val="37"/>
        </w:numPr>
        <w:tabs>
          <w:tab w:val="left" w:pos="720"/>
        </w:tabs>
        <w:spacing w:after="120"/>
      </w:pPr>
      <w:r w:rsidRPr="00DD7FF5">
        <w:t xml:space="preserve">Investigate alleged breaches of the </w:t>
      </w:r>
      <w:r>
        <w:t xml:space="preserve">Education and Care Services National Law (Tasmania) and the </w:t>
      </w:r>
      <w:r w:rsidRPr="00DD7FF5">
        <w:rPr>
          <w:i/>
        </w:rPr>
        <w:t>Child Care Act (2001)</w:t>
      </w:r>
      <w:r w:rsidRPr="00DD7FF5">
        <w:t xml:space="preserve"> and take appropriate action to </w:t>
      </w:r>
      <w:r>
        <w:t>address</w:t>
      </w:r>
      <w:r w:rsidRPr="00DD7FF5">
        <w:t xml:space="preserve"> these situations</w:t>
      </w:r>
      <w:r>
        <w:t xml:space="preserve"> in consultation with the Team Leader</w:t>
      </w:r>
      <w:r w:rsidRPr="00DD7FF5">
        <w:t>.</w:t>
      </w:r>
    </w:p>
    <w:p w:rsidR="00F92E2A" w:rsidRPr="00DD7FF5" w:rsidRDefault="00F92E2A" w:rsidP="00EF52F3">
      <w:pPr>
        <w:numPr>
          <w:ilvl w:val="0"/>
          <w:numId w:val="37"/>
        </w:numPr>
        <w:tabs>
          <w:tab w:val="left" w:pos="720"/>
        </w:tabs>
        <w:spacing w:after="120"/>
      </w:pPr>
      <w:r>
        <w:t>Contribute to the provision of</w:t>
      </w:r>
      <w:r w:rsidRPr="00DD7FF5">
        <w:t xml:space="preserve"> a high level public information and advisory service relating to </w:t>
      </w:r>
      <w:r>
        <w:t>education and care</w:t>
      </w:r>
      <w:r w:rsidRPr="00DD7FF5">
        <w:t xml:space="preserve"> services</w:t>
      </w:r>
      <w:r>
        <w:t>;</w:t>
      </w:r>
      <w:r w:rsidRPr="00DD7FF5">
        <w:t xml:space="preserve"> including professional advice and assistance on child care issues, legislative requirements and best practice programs</w:t>
      </w:r>
      <w:r>
        <w:t xml:space="preserve"> </w:t>
      </w:r>
      <w:r w:rsidRPr="00DD7FF5">
        <w:t xml:space="preserve">to child care </w:t>
      </w:r>
      <w:r>
        <w:t>providers, clients</w:t>
      </w:r>
      <w:r w:rsidRPr="00DD7FF5">
        <w:t xml:space="preserve"> and other interested parties</w:t>
      </w:r>
      <w:r>
        <w:t xml:space="preserve">. </w:t>
      </w:r>
      <w:r w:rsidRPr="00202C9E">
        <w:t>Provide</w:t>
      </w:r>
      <w:r w:rsidRPr="00DD7FF5">
        <w:t xml:space="preserve"> professional advice and expertise to the </w:t>
      </w:r>
      <w:r>
        <w:t>Team Leader, Manager</w:t>
      </w:r>
      <w:r w:rsidRPr="00DD7FF5">
        <w:t xml:space="preserve"> and </w:t>
      </w:r>
      <w:r w:rsidRPr="002E4645">
        <w:t>related stakeholders on a day-to-day basis</w:t>
      </w:r>
      <w:r w:rsidRPr="00DD7FF5">
        <w:t>.</w:t>
      </w:r>
    </w:p>
    <w:p w:rsidR="00F92E2A" w:rsidRPr="00DD7FF5" w:rsidRDefault="00F92E2A" w:rsidP="00EF52F3">
      <w:pPr>
        <w:numPr>
          <w:ilvl w:val="0"/>
          <w:numId w:val="37"/>
        </w:numPr>
        <w:spacing w:after="120"/>
      </w:pPr>
      <w:r>
        <w:t xml:space="preserve">Undertake a key role in </w:t>
      </w:r>
      <w:r w:rsidRPr="002E4645">
        <w:t>the development, implementation</w:t>
      </w:r>
      <w:r>
        <w:t>,</w:t>
      </w:r>
      <w:r w:rsidRPr="002E4645">
        <w:t xml:space="preserve"> </w:t>
      </w:r>
      <w:r w:rsidRPr="00DD7FF5">
        <w:t>dissemination</w:t>
      </w:r>
      <w:r w:rsidRPr="002E4645">
        <w:t xml:space="preserve"> </w:t>
      </w:r>
      <w:r>
        <w:t>and review</w:t>
      </w:r>
      <w:r w:rsidRPr="00DD7FF5">
        <w:t xml:space="preserve"> </w:t>
      </w:r>
      <w:r>
        <w:t xml:space="preserve">of applicable state and national compliance and assessment systems, </w:t>
      </w:r>
      <w:r w:rsidRPr="002E4645">
        <w:t xml:space="preserve">and associated </w:t>
      </w:r>
      <w:r>
        <w:t xml:space="preserve">policies, procedures, </w:t>
      </w:r>
      <w:r w:rsidRPr="00DD7FF5">
        <w:t>training programs</w:t>
      </w:r>
      <w:r>
        <w:t>,</w:t>
      </w:r>
      <w:r w:rsidRPr="00DD7FF5">
        <w:t xml:space="preserve"> </w:t>
      </w:r>
      <w:r w:rsidRPr="002E4645">
        <w:t>publications and documentation</w:t>
      </w:r>
      <w:r>
        <w:t xml:space="preserve">, </w:t>
      </w:r>
      <w:r w:rsidRPr="002E4645">
        <w:t>for use both within the U</w:t>
      </w:r>
      <w:r>
        <w:t>nit</w:t>
      </w:r>
      <w:r w:rsidRPr="002E4645">
        <w:t xml:space="preserve"> and the sector, including consulting appropriately with key stakeholders, to ensure the continued improvement of standards of </w:t>
      </w:r>
      <w:r>
        <w:t xml:space="preserve">education and care </w:t>
      </w:r>
      <w:r w:rsidRPr="002E4645">
        <w:t>within Tasmani</w:t>
      </w:r>
      <w:r>
        <w:t>a.</w:t>
      </w:r>
    </w:p>
    <w:p w:rsidR="00F92E2A" w:rsidRDefault="00F92E2A" w:rsidP="00EF52F3">
      <w:pPr>
        <w:numPr>
          <w:ilvl w:val="0"/>
          <w:numId w:val="37"/>
        </w:numPr>
        <w:spacing w:after="120"/>
      </w:pPr>
      <w:r w:rsidRPr="002E4645">
        <w:t>Undertake projects and prepare reports, briefings and high level correspondence on issues relating to the Unit’s activities</w:t>
      </w:r>
      <w:r>
        <w:t>, e</w:t>
      </w:r>
      <w:r w:rsidRPr="002E4645">
        <w:t xml:space="preserve">nsuring information is relevant, accurate and up to date and represent the Unit and the Department at meetings on matters relating to </w:t>
      </w:r>
      <w:r>
        <w:t xml:space="preserve">education and care </w:t>
      </w:r>
      <w:r w:rsidRPr="002E4645">
        <w:t xml:space="preserve"> in Tasmania</w:t>
      </w:r>
      <w:r>
        <w:t xml:space="preserve"> and nationally</w:t>
      </w:r>
      <w:r w:rsidRPr="002E4645">
        <w:t>.</w:t>
      </w:r>
      <w:r>
        <w:t xml:space="preserve"> </w:t>
      </w:r>
    </w:p>
    <w:p w:rsidR="00F92E2A" w:rsidRPr="00C92907" w:rsidRDefault="00F92E2A" w:rsidP="00EF52F3">
      <w:pPr>
        <w:numPr>
          <w:ilvl w:val="0"/>
          <w:numId w:val="37"/>
        </w:numPr>
        <w:spacing w:after="120"/>
        <w:jc w:val="both"/>
        <w:rPr>
          <w:szCs w:val="22"/>
        </w:rPr>
      </w:pPr>
      <w:r w:rsidRPr="00C92907">
        <w:rPr>
          <w:szCs w:val="22"/>
        </w:rPr>
        <w:t>Maintain and apply a thorough and up-to-date knowledge of regulatory requirements, the quality improvement framework, relevant operational policy and the principles of best regulatory practice.</w:t>
      </w:r>
    </w:p>
    <w:p w:rsidR="00151C10" w:rsidRDefault="00151C10" w:rsidP="00EF52F3">
      <w:pPr>
        <w:numPr>
          <w:ilvl w:val="0"/>
          <w:numId w:val="37"/>
        </w:numPr>
        <w:spacing w:after="120"/>
        <w:ind w:left="357" w:hanging="357"/>
      </w:pPr>
      <w:r>
        <w:t>Perform other duties as envisaged by the assigned classification under the relevant industrial award or agreement and in accordance with the skills, competency and training of the occupant.</w:t>
      </w:r>
    </w:p>
    <w:p w:rsidR="00186DA5" w:rsidRPr="00A97B81" w:rsidRDefault="00186DA5" w:rsidP="00A97B81">
      <w:pPr>
        <w:pStyle w:val="Heading2"/>
      </w:pPr>
      <w:r w:rsidRPr="00A97B81">
        <w:t>Selection Criteria</w:t>
      </w:r>
    </w:p>
    <w:p w:rsidR="00430D4D" w:rsidRPr="00DA1BA1" w:rsidRDefault="00250368" w:rsidP="00A97B81">
      <w:pPr>
        <w:spacing w:before="120" w:after="120"/>
      </w:pPr>
      <w:r w:rsidRPr="00DA1BA1">
        <w:t xml:space="preserve">Employment in the State Service is governed by the </w:t>
      </w:r>
      <w:r w:rsidRPr="00DA1BA1">
        <w:rPr>
          <w:i/>
          <w:iCs/>
        </w:rPr>
        <w:t>State Service Act 2000</w:t>
      </w:r>
      <w:r w:rsidRPr="00DA1BA1">
        <w:t xml:space="preserve"> and employment decisions must be based on merit. A decision relating to appointment or promotion is based on merit if:</w:t>
      </w:r>
    </w:p>
    <w:p w:rsidR="00250368" w:rsidRPr="00DA1BA1" w:rsidRDefault="00250368" w:rsidP="00A97B81">
      <w:pPr>
        <w:numPr>
          <w:ilvl w:val="0"/>
          <w:numId w:val="2"/>
        </w:numPr>
      </w:pPr>
      <w:r w:rsidRPr="00DA1BA1">
        <w:t>an assessment is made of the relative suitability of the candidates for the duties; and</w:t>
      </w:r>
    </w:p>
    <w:p w:rsidR="00250368" w:rsidRPr="00DA1BA1" w:rsidRDefault="00250368" w:rsidP="00A97B81">
      <w:pPr>
        <w:numPr>
          <w:ilvl w:val="0"/>
          <w:numId w:val="2"/>
        </w:numPr>
      </w:pPr>
      <w:r w:rsidRPr="00DA1BA1">
        <w:t>the assessment is based on the relationship between the candidates’ work-related qualities and the work related qualities genuinely required for the performance of the duties; and</w:t>
      </w:r>
    </w:p>
    <w:p w:rsidR="00250368" w:rsidRPr="00DA1BA1" w:rsidRDefault="00250368" w:rsidP="00A97B81">
      <w:pPr>
        <w:numPr>
          <w:ilvl w:val="0"/>
          <w:numId w:val="2"/>
        </w:numPr>
      </w:pPr>
      <w:r w:rsidRPr="00DA1BA1">
        <w:lastRenderedPageBreak/>
        <w:t>the assessment focuses on the relative capacity of the candidates to achieve outcomes related to the duties; and</w:t>
      </w:r>
    </w:p>
    <w:p w:rsidR="00430D4D" w:rsidRPr="00DA1BA1" w:rsidRDefault="00250368" w:rsidP="00A97B81">
      <w:pPr>
        <w:numPr>
          <w:ilvl w:val="0"/>
          <w:numId w:val="2"/>
        </w:numPr>
      </w:pPr>
      <w:r w:rsidRPr="00DA1BA1">
        <w:t>the assessment is the primary consideration in making the decision.</w:t>
      </w:r>
    </w:p>
    <w:p w:rsidR="00430D4D" w:rsidRPr="00DA1BA1" w:rsidRDefault="00250368" w:rsidP="00A97B81">
      <w:pPr>
        <w:spacing w:before="120" w:after="120"/>
      </w:pPr>
      <w:r w:rsidRPr="00DA1BA1">
        <w:t>Work-related qualities might include; skills and abilities; qualifications, training and competencies; standard of work performance; capacity to produce required outcomes; relevant personal qualities; and demonstrated potential for future development.</w:t>
      </w:r>
    </w:p>
    <w:p w:rsidR="00E57665" w:rsidRDefault="00250368" w:rsidP="00A97B81">
      <w:pPr>
        <w:spacing w:before="120" w:after="120"/>
      </w:pPr>
      <w:r w:rsidRPr="00DA1BA1">
        <w:t>The following specific selection criteria must be addressed by candidates in this context. The nominated position objective and duties contained in this statement of duties must also be used to assist in the interpretation of these selection criteria.</w:t>
      </w:r>
    </w:p>
    <w:p w:rsidR="00F92E2A" w:rsidRPr="00DD7FF5" w:rsidRDefault="00F92E2A" w:rsidP="00EF52F3">
      <w:pPr>
        <w:numPr>
          <w:ilvl w:val="0"/>
          <w:numId w:val="44"/>
        </w:numPr>
        <w:tabs>
          <w:tab w:val="left" w:pos="993"/>
        </w:tabs>
        <w:spacing w:after="120"/>
        <w:ind w:left="284" w:hanging="284"/>
      </w:pPr>
      <w:r w:rsidRPr="00DD7FF5">
        <w:t xml:space="preserve">Demonstrated high level knowledge and understanding of the provision </w:t>
      </w:r>
      <w:r>
        <w:t xml:space="preserve">of education and care in the community and </w:t>
      </w:r>
      <w:r w:rsidRPr="002E4645">
        <w:t>at both state and national level,</w:t>
      </w:r>
      <w:r>
        <w:t xml:space="preserve"> </w:t>
      </w:r>
      <w:r w:rsidRPr="00DD7FF5">
        <w:t xml:space="preserve">including a sound knowledge of the relevant legislation, together with a good knowledge of the operations of the Agency and of other Agencies providing services relevant to </w:t>
      </w:r>
      <w:r>
        <w:t>education and care</w:t>
      </w:r>
      <w:r w:rsidRPr="00DD7FF5">
        <w:t>.</w:t>
      </w:r>
    </w:p>
    <w:p w:rsidR="00F92E2A" w:rsidRPr="00C92907" w:rsidRDefault="00F92E2A" w:rsidP="00EF52F3">
      <w:pPr>
        <w:numPr>
          <w:ilvl w:val="0"/>
          <w:numId w:val="44"/>
        </w:numPr>
        <w:spacing w:after="120"/>
        <w:jc w:val="both"/>
        <w:rPr>
          <w:szCs w:val="22"/>
        </w:rPr>
      </w:pPr>
      <w:r w:rsidRPr="00C92907">
        <w:rPr>
          <w:szCs w:val="22"/>
        </w:rPr>
        <w:t xml:space="preserve">Demonstrated high level interpersonal skills including written and verbal communication, negotiation and conflict resolution skills, together with a demonstrated ability to gather evidence through professional observations and conversations, to develop collaborative relationships with other organisations, service providers and team members and to negotiate solutions to facilitate the development and delivery of quality education and care services. </w:t>
      </w:r>
    </w:p>
    <w:p w:rsidR="00F92E2A" w:rsidRPr="00241E92" w:rsidRDefault="00F92E2A" w:rsidP="00EF52F3">
      <w:pPr>
        <w:numPr>
          <w:ilvl w:val="0"/>
          <w:numId w:val="44"/>
        </w:numPr>
        <w:spacing w:after="120"/>
        <w:rPr>
          <w:szCs w:val="22"/>
        </w:rPr>
      </w:pPr>
      <w:r w:rsidRPr="00241E92">
        <w:rPr>
          <w:szCs w:val="22"/>
        </w:rPr>
        <w:t>Highly developed conceptual and reasoning skills and a proven ability to  plan, research, analyse  investigat</w:t>
      </w:r>
      <w:r w:rsidRPr="0001564B">
        <w:rPr>
          <w:szCs w:val="22"/>
        </w:rPr>
        <w:t xml:space="preserve">e, evaluate,  and exercise independent judgment </w:t>
      </w:r>
      <w:r w:rsidRPr="00153217">
        <w:rPr>
          <w:szCs w:val="22"/>
        </w:rPr>
        <w:t>and decision making to solve often complex issues</w:t>
      </w:r>
      <w:r>
        <w:rPr>
          <w:szCs w:val="22"/>
        </w:rPr>
        <w:t>;</w:t>
      </w:r>
      <w:r w:rsidRPr="00241E92">
        <w:t xml:space="preserve"> including the ability to understand the political, social and organisational environment and identify and document relevant issues and priorities.</w:t>
      </w:r>
    </w:p>
    <w:p w:rsidR="00F92E2A" w:rsidRPr="0001564B" w:rsidRDefault="00F92E2A" w:rsidP="00EF52F3">
      <w:pPr>
        <w:numPr>
          <w:ilvl w:val="0"/>
          <w:numId w:val="44"/>
        </w:numPr>
        <w:tabs>
          <w:tab w:val="left" w:pos="993"/>
        </w:tabs>
        <w:spacing w:after="120"/>
        <w:rPr>
          <w:szCs w:val="22"/>
        </w:rPr>
      </w:pPr>
      <w:r w:rsidRPr="00241E92">
        <w:t>Demonstrated planning, project management and problem solving skills.</w:t>
      </w:r>
    </w:p>
    <w:p w:rsidR="00F92E2A" w:rsidRPr="00C92907" w:rsidRDefault="00F92E2A" w:rsidP="00EF52F3">
      <w:pPr>
        <w:numPr>
          <w:ilvl w:val="0"/>
          <w:numId w:val="44"/>
        </w:numPr>
        <w:spacing w:after="120"/>
        <w:jc w:val="both"/>
        <w:rPr>
          <w:szCs w:val="22"/>
        </w:rPr>
      </w:pPr>
      <w:r w:rsidRPr="00C92907">
        <w:rPr>
          <w:szCs w:val="22"/>
        </w:rPr>
        <w:t>Ability to develop, critically appraise, market and implement policies and procedures.</w:t>
      </w:r>
    </w:p>
    <w:p w:rsidR="00F92E2A" w:rsidRPr="00C92907" w:rsidRDefault="00F92E2A" w:rsidP="00EF52F3">
      <w:pPr>
        <w:numPr>
          <w:ilvl w:val="0"/>
          <w:numId w:val="44"/>
        </w:numPr>
        <w:spacing w:after="120"/>
        <w:jc w:val="both"/>
        <w:rPr>
          <w:szCs w:val="22"/>
        </w:rPr>
      </w:pPr>
      <w:r w:rsidRPr="00C92907">
        <w:rPr>
          <w:szCs w:val="22"/>
        </w:rPr>
        <w:t>Personal skills of flexibility, initiative, innovation and self-motivation, including the ability to establish priorities and manage workloads.</w:t>
      </w:r>
    </w:p>
    <w:p w:rsidR="00F92E2A" w:rsidRPr="00C92907" w:rsidRDefault="00F92E2A" w:rsidP="00EF52F3">
      <w:pPr>
        <w:numPr>
          <w:ilvl w:val="0"/>
          <w:numId w:val="44"/>
        </w:numPr>
        <w:spacing w:after="120"/>
        <w:jc w:val="both"/>
        <w:rPr>
          <w:szCs w:val="22"/>
        </w:rPr>
      </w:pPr>
      <w:r w:rsidRPr="00C92907">
        <w:rPr>
          <w:szCs w:val="22"/>
        </w:rPr>
        <w:t>A sound understanding of the use of information technology and associated methods including basic numeracy skills, to assist with the efficient processing, communication and maintenance of records associated with the required duties. Existing skills or ability to quickly develop required skills in use of related software.</w:t>
      </w:r>
    </w:p>
    <w:p w:rsidR="00F92E2A" w:rsidRDefault="00F92E2A" w:rsidP="00EF52F3">
      <w:pPr>
        <w:numPr>
          <w:ilvl w:val="0"/>
          <w:numId w:val="44"/>
        </w:numPr>
        <w:spacing w:after="120"/>
        <w:jc w:val="both"/>
        <w:rPr>
          <w:szCs w:val="22"/>
        </w:rPr>
      </w:pPr>
      <w:r w:rsidRPr="00C92907">
        <w:rPr>
          <w:szCs w:val="22"/>
        </w:rPr>
        <w:t xml:space="preserve">Demonstrated commitment to ongoing professional development. </w:t>
      </w:r>
    </w:p>
    <w:p w:rsidR="00186DA5" w:rsidRPr="00DA1BA1" w:rsidRDefault="00186DA5" w:rsidP="00A97B81">
      <w:pPr>
        <w:pStyle w:val="Heading2"/>
      </w:pPr>
      <w:r w:rsidRPr="00DA1BA1">
        <w:t>Requirements</w:t>
      </w:r>
    </w:p>
    <w:tbl>
      <w:tblPr>
        <w:tblW w:w="9826" w:type="dxa"/>
        <w:tblInd w:w="108" w:type="dxa"/>
        <w:tblLayout w:type="fixed"/>
        <w:tblLook w:val="0000" w:firstRow="0" w:lastRow="0" w:firstColumn="0" w:lastColumn="0" w:noHBand="0" w:noVBand="0"/>
      </w:tblPr>
      <w:tblGrid>
        <w:gridCol w:w="1496"/>
        <w:gridCol w:w="8330"/>
      </w:tblGrid>
      <w:tr w:rsidR="00186DA5" w:rsidRPr="00DA1BA1" w:rsidTr="00A97B81">
        <w:trPr>
          <w:cantSplit/>
          <w:tblHeader/>
        </w:trPr>
        <w:tc>
          <w:tcPr>
            <w:tcW w:w="1496" w:type="dxa"/>
          </w:tcPr>
          <w:p w:rsidR="00186DA5" w:rsidRPr="00DA1BA1" w:rsidRDefault="00186DA5" w:rsidP="008A5726">
            <w:pPr>
              <w:spacing w:before="60" w:after="60"/>
              <w:rPr>
                <w:b/>
              </w:rPr>
            </w:pPr>
            <w:r w:rsidRPr="00DA1BA1">
              <w:rPr>
                <w:b/>
              </w:rPr>
              <w:t>Essential</w:t>
            </w:r>
          </w:p>
        </w:tc>
        <w:tc>
          <w:tcPr>
            <w:tcW w:w="8330" w:type="dxa"/>
          </w:tcPr>
          <w:p w:rsidR="003A2483" w:rsidRPr="003A2483" w:rsidRDefault="003A2483" w:rsidP="003A2483">
            <w:pPr>
              <w:numPr>
                <w:ilvl w:val="0"/>
                <w:numId w:val="42"/>
              </w:numPr>
              <w:spacing w:before="60" w:after="60"/>
              <w:rPr>
                <w:color w:val="ED7D31"/>
                <w:szCs w:val="24"/>
              </w:rPr>
            </w:pPr>
            <w:r w:rsidRPr="001B4D02">
              <w:rPr>
                <w:szCs w:val="24"/>
              </w:rPr>
              <w:t xml:space="preserve">The </w:t>
            </w:r>
            <w:r w:rsidRPr="005E0CDE">
              <w:rPr>
                <w:i/>
                <w:iCs/>
                <w:szCs w:val="24"/>
              </w:rPr>
              <w:t>Registration to Work with Vulnerable People Act 2013</w:t>
            </w:r>
            <w:r w:rsidRPr="00325DD9">
              <w:rPr>
                <w:i/>
                <w:iCs/>
                <w:szCs w:val="24"/>
              </w:rPr>
              <w:t xml:space="preserve"> </w:t>
            </w:r>
            <w:r w:rsidRPr="00325DD9">
              <w:rPr>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w:t>
            </w:r>
            <w:r>
              <w:rPr>
                <w:szCs w:val="24"/>
              </w:rPr>
              <w:t>t.</w:t>
            </w:r>
          </w:p>
          <w:p w:rsidR="003A2483" w:rsidRPr="003A2483" w:rsidRDefault="003A2483" w:rsidP="003A2483">
            <w:pPr>
              <w:pStyle w:val="ListParagraph"/>
              <w:numPr>
                <w:ilvl w:val="1"/>
                <w:numId w:val="42"/>
              </w:numPr>
              <w:tabs>
                <w:tab w:val="clear" w:pos="680"/>
              </w:tabs>
              <w:spacing w:after="0"/>
              <w:ind w:left="982"/>
              <w:rPr>
                <w:rFonts w:ascii="Gill Sans MT" w:hAnsi="Gill Sans MT" w:cs="Arial"/>
                <w:sz w:val="24"/>
                <w:szCs w:val="24"/>
              </w:rPr>
            </w:pPr>
            <w:r w:rsidRPr="00325DD9">
              <w:rPr>
                <w:rFonts w:ascii="Gill Sans MT" w:hAnsi="Gill Sans MT"/>
                <w:sz w:val="24"/>
                <w:szCs w:val="24"/>
              </w:rPr>
              <w:t>Current Tasmanian Registration to Work with Vulnerable People</w:t>
            </w:r>
            <w:r>
              <w:rPr>
                <w:rFonts w:ascii="Gill Sans MT" w:hAnsi="Gill Sans MT"/>
                <w:sz w:val="24"/>
                <w:szCs w:val="24"/>
              </w:rPr>
              <w:t xml:space="preserve"> </w:t>
            </w:r>
            <w:r w:rsidRPr="003A2483">
              <w:rPr>
                <w:rFonts w:ascii="Gill Sans MT" w:hAnsi="Gill Sans MT"/>
                <w:sz w:val="24"/>
                <w:szCs w:val="24"/>
              </w:rPr>
              <w:t>(Registration Status – Employment</w:t>
            </w:r>
            <w:r>
              <w:rPr>
                <w:rFonts w:ascii="Gill Sans MT" w:hAnsi="Gill Sans MT"/>
                <w:sz w:val="24"/>
                <w:szCs w:val="24"/>
              </w:rPr>
              <w:t>)</w:t>
            </w:r>
          </w:p>
          <w:p w:rsidR="007C18A0" w:rsidRPr="007C18A0" w:rsidRDefault="007C18A0" w:rsidP="008A5726">
            <w:pPr>
              <w:pStyle w:val="ListParagraph"/>
              <w:spacing w:after="0"/>
              <w:ind w:left="1077"/>
              <w:rPr>
                <w:rFonts w:ascii="Gill Sans MT" w:hAnsi="Gill Sans MT" w:cs="Arial"/>
                <w:sz w:val="24"/>
                <w:szCs w:val="24"/>
              </w:rPr>
            </w:pPr>
          </w:p>
        </w:tc>
      </w:tr>
      <w:tr w:rsidR="00186DA5" w:rsidRPr="00DA1BA1" w:rsidTr="00A97B81">
        <w:trPr>
          <w:cantSplit/>
          <w:tblHeader/>
        </w:trPr>
        <w:tc>
          <w:tcPr>
            <w:tcW w:w="1496" w:type="dxa"/>
          </w:tcPr>
          <w:p w:rsidR="00186DA5" w:rsidRPr="00DA1BA1" w:rsidRDefault="00186DA5" w:rsidP="008A5726">
            <w:pPr>
              <w:spacing w:before="60" w:after="60"/>
              <w:ind w:left="448" w:hanging="357"/>
              <w:rPr>
                <w:b/>
              </w:rPr>
            </w:pPr>
            <w:r w:rsidRPr="00DA1BA1">
              <w:rPr>
                <w:b/>
              </w:rPr>
              <w:t>Desirable</w:t>
            </w:r>
          </w:p>
        </w:tc>
        <w:tc>
          <w:tcPr>
            <w:tcW w:w="8330" w:type="dxa"/>
            <w:vAlign w:val="center"/>
          </w:tcPr>
          <w:p w:rsidR="00F92E2A" w:rsidRPr="00153217" w:rsidRDefault="00F92E2A" w:rsidP="00F92E2A">
            <w:pPr>
              <w:numPr>
                <w:ilvl w:val="0"/>
                <w:numId w:val="42"/>
              </w:numPr>
              <w:tabs>
                <w:tab w:val="num" w:pos="453"/>
              </w:tabs>
              <w:spacing w:before="60" w:after="60"/>
              <w:rPr>
                <w:szCs w:val="24"/>
              </w:rPr>
            </w:pPr>
            <w:r w:rsidRPr="00DD7FF5">
              <w:t>Early childhood and/or other tertiary qualifications in a relevant field</w:t>
            </w:r>
            <w:r>
              <w:t>.</w:t>
            </w:r>
            <w:r w:rsidRPr="00DD7FF5">
              <w:t xml:space="preserve"> </w:t>
            </w:r>
          </w:p>
          <w:p w:rsidR="00186DA5" w:rsidRPr="00DA1BA1" w:rsidRDefault="00F92E2A" w:rsidP="00F92E2A">
            <w:pPr>
              <w:numPr>
                <w:ilvl w:val="0"/>
                <w:numId w:val="42"/>
              </w:numPr>
              <w:spacing w:before="60" w:after="60"/>
              <w:rPr>
                <w:szCs w:val="24"/>
              </w:rPr>
            </w:pPr>
            <w:r>
              <w:t>C</w:t>
            </w:r>
            <w:r w:rsidRPr="00DD7FF5">
              <w:t>urrent driver’s licence.</w:t>
            </w:r>
          </w:p>
        </w:tc>
      </w:tr>
    </w:tbl>
    <w:p w:rsidR="00E05EE4" w:rsidRPr="00083236" w:rsidRDefault="00E05EE4" w:rsidP="001F1F90">
      <w:pPr>
        <w:pStyle w:val="Heading2"/>
      </w:pPr>
      <w:r>
        <w:lastRenderedPageBreak/>
        <w:t>Working within</w:t>
      </w:r>
      <w:r w:rsidRPr="00083236">
        <w:t xml:space="preserve"> the </w:t>
      </w:r>
      <w:r w:rsidRPr="005342D7">
        <w:t>Department</w:t>
      </w:r>
      <w:r w:rsidRPr="00083236">
        <w:t xml:space="preserve"> of Education</w:t>
      </w:r>
    </w:p>
    <w:p w:rsidR="006D0906" w:rsidRPr="00DC5557" w:rsidRDefault="006D0906" w:rsidP="008A5726">
      <w:pPr>
        <w:spacing w:after="120"/>
        <w:rPr>
          <w:b/>
        </w:rPr>
      </w:pPr>
      <w:r w:rsidRPr="00DC5557">
        <w:t>The Department is responsible for providing public education, vocational education and training, adult and community education, and library and archive services throughout Tasmania.</w:t>
      </w:r>
    </w:p>
    <w:p w:rsidR="009402EF" w:rsidRDefault="009402EF" w:rsidP="009402EF">
      <w:pPr>
        <w:pStyle w:val="NormalWeb"/>
        <w:spacing w:before="0" w:beforeAutospacing="0" w:after="120" w:afterAutospacing="0"/>
      </w:pPr>
      <w:r w:rsidRPr="005821B4">
        <w:t xml:space="preserve">Our strategic focus is centered on achieving the Tasmanian Government’s priorities for education, training and information services.  These priorities are expressed through the goals of the </w:t>
      </w:r>
      <w:r w:rsidRPr="005821B4">
        <w:rPr>
          <w:i/>
        </w:rPr>
        <w:t>Learners First: Every Learner, Every Day</w:t>
      </w:r>
      <w:r w:rsidRPr="005821B4">
        <w:t xml:space="preserve"> Strategic Plan, and the </w:t>
      </w:r>
      <w:r w:rsidR="002B7C3E">
        <w:t>Libraries</w:t>
      </w:r>
      <w:r w:rsidRPr="005821B4">
        <w:t xml:space="preserve"> Tasmania Strategy.</w:t>
      </w:r>
    </w:p>
    <w:p w:rsidR="009402EF" w:rsidRDefault="009402EF" w:rsidP="009402EF">
      <w:pPr>
        <w:pStyle w:val="NormalWeb"/>
        <w:tabs>
          <w:tab w:val="bar" w:pos="2268"/>
          <w:tab w:val="left" w:pos="2552"/>
        </w:tabs>
        <w:spacing w:before="120" w:beforeAutospacing="0" w:after="120" w:afterAutospacing="0"/>
        <w:ind w:left="2552" w:hanging="2552"/>
      </w:pPr>
      <w:r w:rsidRPr="00491520">
        <w:rPr>
          <w:b/>
        </w:rPr>
        <w:t>Our Commitment</w:t>
      </w:r>
      <w:r>
        <w:tab/>
      </w:r>
      <w:r w:rsidRPr="005821B4">
        <w:t>Together we inspire and support all learners to succeed as connected, resilient, creative and curious</w:t>
      </w:r>
      <w:r>
        <w:t xml:space="preserve"> thinkers.</w:t>
      </w:r>
    </w:p>
    <w:p w:rsidR="009402EF" w:rsidRDefault="009402EF" w:rsidP="009402EF">
      <w:pPr>
        <w:pStyle w:val="NormalWeb"/>
        <w:tabs>
          <w:tab w:val="bar" w:pos="2268"/>
          <w:tab w:val="left" w:pos="2552"/>
        </w:tabs>
        <w:spacing w:before="0" w:beforeAutospacing="0" w:after="120" w:afterAutospacing="0"/>
        <w:ind w:left="2268" w:hanging="2268"/>
      </w:pPr>
      <w:r w:rsidRPr="00491520">
        <w:rPr>
          <w:b/>
        </w:rPr>
        <w:t>Our Values</w:t>
      </w:r>
      <w:r w:rsidRPr="00491520">
        <w:rPr>
          <w:b/>
        </w:rPr>
        <w:tab/>
      </w:r>
      <w:r>
        <w:rPr>
          <w:b/>
        </w:rPr>
        <w:tab/>
      </w:r>
      <w:r w:rsidRPr="005821B4">
        <w:t>Aspiration, Respect, Courage and Growth</w:t>
      </w:r>
      <w:r>
        <w:t>.</w:t>
      </w:r>
    </w:p>
    <w:p w:rsidR="009402EF" w:rsidRPr="005821B4" w:rsidRDefault="009402EF" w:rsidP="009402EF">
      <w:pPr>
        <w:pStyle w:val="NormalWeb"/>
        <w:tabs>
          <w:tab w:val="bar" w:pos="2268"/>
          <w:tab w:val="left" w:pos="2552"/>
        </w:tabs>
        <w:spacing w:before="0" w:beforeAutospacing="0" w:after="120" w:afterAutospacing="0"/>
        <w:ind w:left="2552" w:hanging="2552"/>
      </w:pPr>
      <w:r w:rsidRPr="00491520">
        <w:rPr>
          <w:b/>
        </w:rPr>
        <w:t>Our Goals</w:t>
      </w:r>
      <w:r w:rsidRPr="00491520">
        <w:rPr>
          <w:b/>
        </w:rPr>
        <w:tab/>
      </w:r>
      <w:r w:rsidRPr="005821B4">
        <w:t>Access, Participation and Engagement; Early Learning; Wellbeing; Literacy and Numeracy</w:t>
      </w:r>
      <w:r>
        <w:t>.</w:t>
      </w:r>
    </w:p>
    <w:p w:rsidR="006D0906" w:rsidRDefault="009402EF" w:rsidP="009402EF">
      <w:pPr>
        <w:pStyle w:val="NormalWeb"/>
        <w:spacing w:before="120" w:beforeAutospacing="0" w:after="0" w:afterAutospacing="0"/>
      </w:pPr>
      <w:r w:rsidRPr="005821B4">
        <w:t xml:space="preserve">Our strategies aim to transform the way Tasmanians access education, training and information services, provide a fresh and exciting approach to lifelong learning and build an education system that </w:t>
      </w:r>
      <w:r w:rsidR="00703913">
        <w:t>inspires and supports all learners to succeed as connected, resilient, creative and curious thinkers.</w:t>
      </w:r>
    </w:p>
    <w:p w:rsidR="006D0906" w:rsidRDefault="006D0906" w:rsidP="00A97B81">
      <w:pPr>
        <w:pStyle w:val="Heading3"/>
      </w:pPr>
      <w:r>
        <w:t>Information and Records Management</w:t>
      </w:r>
    </w:p>
    <w:p w:rsidR="006D0906" w:rsidRDefault="006D0906" w:rsidP="008A5726">
      <w:r>
        <w:t>All employees are responsible and accountable to:</w:t>
      </w:r>
    </w:p>
    <w:p w:rsidR="006D0906" w:rsidRDefault="006D0906" w:rsidP="008A5726">
      <w:pPr>
        <w:pStyle w:val="NormalWeb"/>
        <w:numPr>
          <w:ilvl w:val="0"/>
          <w:numId w:val="28"/>
        </w:numPr>
        <w:spacing w:before="0" w:beforeAutospacing="0" w:after="0" w:afterAutospacing="0"/>
      </w:pPr>
      <w:r>
        <w:t>Create records according to the business needs and business processes of their business unit or school that adequately document the business activities in which they take part.</w:t>
      </w:r>
    </w:p>
    <w:p w:rsidR="006D0906" w:rsidRDefault="006D0906" w:rsidP="008A5726">
      <w:pPr>
        <w:pStyle w:val="NormalWeb"/>
        <w:numPr>
          <w:ilvl w:val="0"/>
          <w:numId w:val="28"/>
        </w:numPr>
        <w:spacing w:before="0" w:beforeAutospacing="0" w:after="0" w:afterAutospacing="0"/>
      </w:pPr>
      <w:r>
        <w:t xml:space="preserve">Register documents in an approved Business Information Management System. </w:t>
      </w:r>
    </w:p>
    <w:p w:rsidR="006D0906" w:rsidRDefault="006D0906" w:rsidP="008A5726">
      <w:pPr>
        <w:pStyle w:val="NormalWeb"/>
        <w:numPr>
          <w:ilvl w:val="0"/>
          <w:numId w:val="28"/>
        </w:numPr>
        <w:spacing w:before="0" w:beforeAutospacing="0" w:after="0" w:afterAutospacing="0"/>
      </w:pPr>
      <w:r>
        <w:t>Access information for legitimate work purposes only.</w:t>
      </w:r>
    </w:p>
    <w:p w:rsidR="006D0906" w:rsidRDefault="006D0906" w:rsidP="00A97B81">
      <w:pPr>
        <w:spacing w:before="120"/>
      </w:pPr>
      <w:r>
        <w:t>All employees must not:</w:t>
      </w:r>
    </w:p>
    <w:p w:rsidR="006D0906" w:rsidRDefault="006D0906" w:rsidP="008A5726">
      <w:pPr>
        <w:pStyle w:val="NormalWeb"/>
        <w:numPr>
          <w:ilvl w:val="0"/>
          <w:numId w:val="29"/>
        </w:numPr>
        <w:spacing w:before="0" w:beforeAutospacing="0" w:after="0" w:afterAutospacing="0"/>
      </w:pPr>
      <w:r>
        <w:t xml:space="preserve">Destroy delete or alter records without proper authority; or </w:t>
      </w:r>
    </w:p>
    <w:p w:rsidR="006D0906" w:rsidRDefault="006D0906" w:rsidP="008A5726">
      <w:pPr>
        <w:pStyle w:val="NormalWeb"/>
        <w:numPr>
          <w:ilvl w:val="0"/>
          <w:numId w:val="29"/>
        </w:numPr>
        <w:spacing w:before="0" w:beforeAutospacing="0" w:after="0" w:afterAutospacing="0"/>
      </w:pPr>
      <w:r>
        <w:t>Remove information, documents or records from the Department without permission.</w:t>
      </w:r>
    </w:p>
    <w:p w:rsidR="006D0906" w:rsidRDefault="006D0906" w:rsidP="00A97B81">
      <w:pPr>
        <w:pStyle w:val="Heading3"/>
      </w:pPr>
      <w:r w:rsidRPr="00CE3EAA">
        <w:t>State Service Principles and Code of Conduct</w:t>
      </w:r>
    </w:p>
    <w:p w:rsidR="006D0906" w:rsidRDefault="006D0906" w:rsidP="008A5726">
      <w:pPr>
        <w:spacing w:after="120"/>
      </w:pPr>
      <w:r>
        <w:rPr>
          <w:bCs/>
        </w:rPr>
        <w:t xml:space="preserve">Employment in the State Service is governed by the </w:t>
      </w:r>
      <w:r w:rsidRPr="001262A2">
        <w:rPr>
          <w:bCs/>
          <w:i/>
        </w:rPr>
        <w:t>State Service Act 2000</w:t>
      </w:r>
      <w:r>
        <w:rPr>
          <w:bCs/>
        </w:rPr>
        <w:t xml:space="preserve">. </w:t>
      </w:r>
      <w: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rsidR="006D0906" w:rsidRDefault="006D0906" w:rsidP="008A5726">
      <w:pPr>
        <w:spacing w:after="120"/>
      </w:pPr>
      <w:r>
        <w:t xml:space="preserve">The State Service Principles and Code of Conduct are contained in the </w:t>
      </w:r>
      <w:r>
        <w:rPr>
          <w:i/>
        </w:rPr>
        <w:t>State Service Act 2000</w:t>
      </w:r>
      <w:r>
        <w:t xml:space="preserve"> and can be found on the State Service Management Office website at </w:t>
      </w:r>
      <w:hyperlink r:id="rId12" w:history="1">
        <w:r w:rsidRPr="00A70607">
          <w:rPr>
            <w:rStyle w:val="Hyperlink"/>
          </w:rPr>
          <w:t>http://www.dpac.tas.gov.au/divisions/ssmo</w:t>
        </w:r>
      </w:hyperlink>
      <w:r>
        <w:t xml:space="preserve"> together with Employment Direction No. 2 </w:t>
      </w:r>
      <w:r>
        <w:rPr>
          <w:bCs/>
          <w:i/>
          <w:iCs/>
          <w:color w:val="FF0000"/>
        </w:rPr>
        <w:t>State Service Principles</w:t>
      </w:r>
      <w:r>
        <w:rPr>
          <w:bCs/>
          <w:i/>
          <w:iCs/>
        </w:rPr>
        <w:t xml:space="preserve">. </w:t>
      </w:r>
      <w:r>
        <w:t>All employees must read these and ensure they understand their responsibilities.</w:t>
      </w:r>
    </w:p>
    <w:p w:rsidR="006D0906" w:rsidRDefault="006D0906" w:rsidP="008A5726">
      <w:pPr>
        <w:spacing w:after="120"/>
      </w:pPr>
      <w:r>
        <w:t xml:space="preserve">All employees are expected to utilise information management systems in a responsible manner in line with the DoE Condition of Use policy statement located at </w:t>
      </w:r>
      <w:hyperlink r:id="rId13" w:history="1">
        <w:r>
          <w:rPr>
            <w:rStyle w:val="Hyperlink"/>
          </w:rPr>
          <w:t>Department of Education: Information technology policies</w:t>
        </w:r>
      </w:hyperlink>
    </w:p>
    <w:p w:rsidR="00FC4081" w:rsidRPr="008C6DDC" w:rsidRDefault="00FC4081" w:rsidP="008D4E9C">
      <w:pPr>
        <w:pStyle w:val="Heading3"/>
      </w:pPr>
      <w:r w:rsidRPr="008C6DDC">
        <w:t>Work Health and Safety and Workplace Diversity</w:t>
      </w:r>
    </w:p>
    <w:p w:rsidR="00FC4081" w:rsidRDefault="00FC4081" w:rsidP="008D4E9C">
      <w:pPr>
        <w:spacing w:after="120"/>
      </w:pPr>
      <w:r>
        <w:t xml:space="preserve">The Department is committed to high standards of performance in respect of work health and safety and managing diversity. </w:t>
      </w:r>
      <w:r w:rsidRPr="00DC7124">
        <w:t>All employees are expected to promote and uphold the principles of fair and equitable access to employment/promotion, personal development and training and the elimination of workplace harassment and discrimination.</w:t>
      </w:r>
    </w:p>
    <w:p w:rsidR="00FC4081" w:rsidRDefault="00FC4081" w:rsidP="008D4E9C">
      <w:pPr>
        <w:spacing w:after="120"/>
      </w:pPr>
      <w:r>
        <w:lastRenderedPageBreak/>
        <w:t xml:space="preserve">In accordance with the </w:t>
      </w:r>
      <w:r w:rsidRPr="001262A2">
        <w:rPr>
          <w:i/>
        </w:rPr>
        <w:t>Work Health and Safety Act 2012</w:t>
      </w:r>
      <w: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rsidR="00FC4081" w:rsidRDefault="00FC4081" w:rsidP="008D4E9C">
      <w:pPr>
        <w:spacing w:after="120"/>
      </w:pPr>
      <w:r>
        <w:t>The Department of Education is committed to providing a safe workplace for all employees and has zero tolerance to all forms of violence.</w:t>
      </w:r>
    </w:p>
    <w:p w:rsidR="00FC4081" w:rsidRDefault="00FC4081" w:rsidP="00FC4081">
      <w:pPr>
        <w:spacing w:after="120"/>
      </w:pPr>
      <w:r w:rsidRPr="00AD3639">
        <w:t>State Government workplaces and vehicles are non smoking environments.</w:t>
      </w:r>
    </w:p>
    <w:tbl>
      <w:tblPr>
        <w:tblStyle w:val="TableGrid"/>
        <w:tblW w:w="0" w:type="auto"/>
        <w:tblBorders>
          <w:left w:val="none" w:sz="0" w:space="0" w:color="auto"/>
          <w:right w:val="none" w:sz="0" w:space="0" w:color="auto"/>
        </w:tblBorders>
        <w:tblLook w:val="04A0" w:firstRow="1" w:lastRow="0" w:firstColumn="1" w:lastColumn="0" w:noHBand="0" w:noVBand="1"/>
        <w:tblCaption w:val="HR Office Use only"/>
        <w:tblDescription w:val="HR Office Use only"/>
      </w:tblPr>
      <w:tblGrid>
        <w:gridCol w:w="9968"/>
      </w:tblGrid>
      <w:tr w:rsidR="00A97B81" w:rsidTr="00065431">
        <w:trPr>
          <w:trHeight w:val="419"/>
          <w:tblHeader/>
        </w:trPr>
        <w:tc>
          <w:tcPr>
            <w:tcW w:w="9968" w:type="dxa"/>
          </w:tcPr>
          <w:p w:rsidR="00A97B81" w:rsidRPr="00F17D49" w:rsidRDefault="00A97B81" w:rsidP="00F92E2A">
            <w:pPr>
              <w:spacing w:before="240" w:after="240"/>
              <w:rPr>
                <w:color w:val="000000"/>
                <w:sz w:val="20"/>
                <w:lang w:val="en-US"/>
              </w:rPr>
            </w:pPr>
            <w:r w:rsidRPr="00F17D49">
              <w:rPr>
                <w:rFonts w:cs="Arial"/>
                <w:b/>
                <w:bCs/>
                <w:sz w:val="20"/>
              </w:rPr>
              <w:t>Category/funding/restrictions:</w:t>
            </w:r>
            <w:r w:rsidRPr="00F17D49">
              <w:rPr>
                <w:rFonts w:cs="Arial"/>
                <w:sz w:val="20"/>
              </w:rPr>
              <w:t xml:space="preserve"> </w:t>
            </w:r>
            <w:r w:rsidRPr="00F17D49">
              <w:rPr>
                <w:sz w:val="20"/>
              </w:rPr>
              <w:t xml:space="preserve">Permanent or Fixed Term. Cost code: </w:t>
            </w:r>
            <w:r w:rsidR="00F92E2A">
              <w:rPr>
                <w:sz w:val="20"/>
              </w:rPr>
              <w:t xml:space="preserve">As </w:t>
            </w:r>
            <w:r w:rsidRPr="00F17D49">
              <w:rPr>
                <w:sz w:val="20"/>
              </w:rPr>
              <w:t>Specified.</w:t>
            </w:r>
          </w:p>
        </w:tc>
      </w:tr>
      <w:tr w:rsidR="00A97B81" w:rsidTr="00065431">
        <w:trPr>
          <w:trHeight w:val="1393"/>
        </w:trPr>
        <w:tc>
          <w:tcPr>
            <w:tcW w:w="9968" w:type="dxa"/>
            <w:vAlign w:val="center"/>
          </w:tcPr>
          <w:p w:rsidR="00A97B81" w:rsidRDefault="00A97B81" w:rsidP="001D6600">
            <w:pPr>
              <w:rPr>
                <w:rFonts w:cs="Arial"/>
                <w:b/>
                <w:sz w:val="20"/>
              </w:rPr>
            </w:pPr>
            <w:r>
              <w:rPr>
                <w:rFonts w:cs="Arial"/>
                <w:b/>
                <w:sz w:val="20"/>
              </w:rPr>
              <w:t xml:space="preserve">HR </w:t>
            </w:r>
            <w:r w:rsidRPr="00DA1BA1">
              <w:rPr>
                <w:rFonts w:cs="Arial"/>
                <w:b/>
                <w:sz w:val="20"/>
              </w:rPr>
              <w:t xml:space="preserve">Office use only: </w:t>
            </w:r>
          </w:p>
          <w:p w:rsidR="00A97B81" w:rsidRPr="005434B7" w:rsidRDefault="00A97B81" w:rsidP="001D6600">
            <w:pPr>
              <w:tabs>
                <w:tab w:val="left" w:pos="180"/>
              </w:tabs>
              <w:rPr>
                <w:rFonts w:cs="Arial"/>
                <w:sz w:val="20"/>
              </w:rPr>
            </w:pPr>
            <w:r w:rsidRPr="005434B7">
              <w:rPr>
                <w:rFonts w:cs="Arial"/>
                <w:b/>
                <w:sz w:val="20"/>
              </w:rPr>
              <w:t xml:space="preserve">APPROVED BY HRM DELEGATE: </w:t>
            </w:r>
            <w:r w:rsidR="000A408A">
              <w:rPr>
                <w:rFonts w:cs="Arial"/>
                <w:sz w:val="20"/>
              </w:rPr>
              <w:t>964915</w:t>
            </w:r>
            <w:r w:rsidR="000A408A" w:rsidRPr="00DD71AF">
              <w:rPr>
                <w:rFonts w:cs="Arial"/>
                <w:sz w:val="20"/>
              </w:rPr>
              <w:t xml:space="preserve"> </w:t>
            </w:r>
            <w:r w:rsidR="000A408A">
              <w:rPr>
                <w:rFonts w:cs="Arial"/>
                <w:sz w:val="20"/>
              </w:rPr>
              <w:t>–</w:t>
            </w:r>
            <w:r w:rsidR="000A408A" w:rsidRPr="00DD71AF">
              <w:rPr>
                <w:rFonts w:cs="Arial"/>
                <w:sz w:val="20"/>
              </w:rPr>
              <w:t xml:space="preserve"> </w:t>
            </w:r>
            <w:r w:rsidR="000A408A">
              <w:rPr>
                <w:rFonts w:cs="Arial"/>
                <w:sz w:val="20"/>
              </w:rPr>
              <w:t xml:space="preserve">Manager Vacancy and Staffing Services </w:t>
            </w:r>
            <w:r w:rsidR="000A408A" w:rsidRPr="00DD71AF">
              <w:rPr>
                <w:rFonts w:cs="Arial"/>
                <w:sz w:val="20"/>
              </w:rPr>
              <w:t xml:space="preserve">– </w:t>
            </w:r>
            <w:r w:rsidR="000A408A">
              <w:rPr>
                <w:rFonts w:cs="Arial"/>
                <w:sz w:val="20"/>
              </w:rPr>
              <w:t>September 2017</w:t>
            </w:r>
          </w:p>
          <w:p w:rsidR="00A97B81" w:rsidRPr="005434B7" w:rsidRDefault="00A97B81" w:rsidP="001D6600">
            <w:pPr>
              <w:rPr>
                <w:rFonts w:cs="Arial"/>
                <w:sz w:val="20"/>
              </w:rPr>
            </w:pPr>
            <w:r w:rsidRPr="005434B7">
              <w:rPr>
                <w:rFonts w:cs="Arial"/>
                <w:sz w:val="20"/>
              </w:rPr>
              <w:t xml:space="preserve">VEM: </w:t>
            </w:r>
            <w:r w:rsidR="00F92E2A">
              <w:rPr>
                <w:rFonts w:cs="Arial"/>
                <w:sz w:val="20"/>
              </w:rPr>
              <w:t>37006</w:t>
            </w:r>
            <w:r w:rsidR="0086697D">
              <w:rPr>
                <w:rFonts w:cs="Arial"/>
                <w:sz w:val="20"/>
              </w:rPr>
              <w:t>, 44655</w:t>
            </w:r>
            <w:r w:rsidR="00FC4081">
              <w:rPr>
                <w:rFonts w:cs="Arial"/>
                <w:sz w:val="20"/>
              </w:rPr>
              <w:t>, 46195</w:t>
            </w:r>
            <w:r w:rsidR="005D2B87">
              <w:rPr>
                <w:rFonts w:cs="Arial"/>
                <w:sz w:val="20"/>
              </w:rPr>
              <w:t>, 51033</w:t>
            </w:r>
          </w:p>
          <w:p w:rsidR="00A97B81" w:rsidRPr="00F17D49" w:rsidRDefault="00A97B81" w:rsidP="005D2B87">
            <w:pPr>
              <w:rPr>
                <w:rFonts w:cs="Arial"/>
                <w:sz w:val="16"/>
                <w:szCs w:val="16"/>
              </w:rPr>
            </w:pPr>
            <w:r w:rsidRPr="005434B7">
              <w:rPr>
                <w:rFonts w:cs="Arial"/>
                <w:sz w:val="20"/>
              </w:rPr>
              <w:t>Date Duties and Selection Criteria Last Reviewed</w:t>
            </w:r>
            <w:r w:rsidR="00F92E2A">
              <w:rPr>
                <w:rFonts w:cs="Arial"/>
                <w:sz w:val="20"/>
              </w:rPr>
              <w:t xml:space="preserve">: </w:t>
            </w:r>
            <w:r w:rsidR="005D2B87">
              <w:rPr>
                <w:rFonts w:cs="Arial"/>
                <w:sz w:val="20"/>
              </w:rPr>
              <w:t>09/17</w:t>
            </w:r>
            <w:r w:rsidR="00F92E2A">
              <w:rPr>
                <w:rFonts w:cs="Arial"/>
                <w:sz w:val="20"/>
              </w:rPr>
              <w:t xml:space="preserve">  VRH</w:t>
            </w:r>
          </w:p>
        </w:tc>
      </w:tr>
    </w:tbl>
    <w:p w:rsidR="00D67FFD" w:rsidRPr="00DA1BA1" w:rsidRDefault="00D67FFD" w:rsidP="00A97B81">
      <w:pPr>
        <w:spacing w:after="120"/>
        <w:rPr>
          <w:rFonts w:cs="Arial"/>
          <w:sz w:val="16"/>
          <w:szCs w:val="16"/>
        </w:rPr>
      </w:pPr>
    </w:p>
    <w:sectPr w:rsidR="00D67FFD" w:rsidRPr="00DA1BA1" w:rsidSect="00E26854">
      <w:footerReference w:type="first" r:id="rId14"/>
      <w:pgSz w:w="11906" w:h="16838" w:code="9"/>
      <w:pgMar w:top="1134" w:right="794" w:bottom="907" w:left="1134"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E69" w:rsidRDefault="00545E69">
      <w:r>
        <w:separator/>
      </w:r>
    </w:p>
  </w:endnote>
  <w:endnote w:type="continuationSeparator" w:id="0">
    <w:p w:rsidR="00545E69" w:rsidRDefault="0054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GillSans-Light">
    <w:altName w:val="GillSans Light"/>
    <w:panose1 w:val="00000000000000000000"/>
    <w:charset w:val="4D"/>
    <w:family w:val="auto"/>
    <w:notTrueType/>
    <w:pitch w:val="default"/>
    <w:sig w:usb0="03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E89" w:rsidRPr="00A97B81" w:rsidRDefault="00A97B81" w:rsidP="00A97B81">
    <w:pPr>
      <w:pStyle w:val="Footer"/>
    </w:pPr>
    <w:r w:rsidRPr="00A97B81">
      <w:rPr>
        <w:noProof/>
        <w:lang w:eastAsia="en-AU"/>
      </w:rPr>
      <w:drawing>
        <wp:anchor distT="0" distB="0" distL="114300" distR="114300" simplePos="0" relativeHeight="251659264" behindDoc="0" locked="0" layoutInCell="1" allowOverlap="1" wp14:anchorId="578AADBE" wp14:editId="7E382A6F">
          <wp:simplePos x="0" y="0"/>
          <wp:positionH relativeFrom="page">
            <wp:align>left</wp:align>
          </wp:positionH>
          <wp:positionV relativeFrom="paragraph">
            <wp:posOffset>206430</wp:posOffset>
          </wp:positionV>
          <wp:extent cx="7545705" cy="1392555"/>
          <wp:effectExtent l="0" t="0" r="0" b="0"/>
          <wp:wrapThrough wrapText="bothSides">
            <wp:wrapPolygon edited="0">
              <wp:start x="0" y="0"/>
              <wp:lineTo x="0" y="21275"/>
              <wp:lineTo x="21540" y="21275"/>
              <wp:lineTo x="21540" y="0"/>
              <wp:lineTo x="0" y="0"/>
            </wp:wrapPolygon>
          </wp:wrapThrough>
          <wp:docPr id="1" name="Picture 1" descr="Department of Education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5705" cy="13925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E69" w:rsidRDefault="00545E69">
      <w:r>
        <w:separator/>
      </w:r>
    </w:p>
  </w:footnote>
  <w:footnote w:type="continuationSeparator" w:id="0">
    <w:p w:rsidR="00545E69" w:rsidRDefault="00545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AA3"/>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A6F6547"/>
    <w:multiLevelType w:val="hybridMultilevel"/>
    <w:tmpl w:val="2350192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1C27CE"/>
    <w:multiLevelType w:val="singleLevel"/>
    <w:tmpl w:val="92786C1E"/>
    <w:lvl w:ilvl="0">
      <w:start w:val="1"/>
      <w:numFmt w:val="decimal"/>
      <w:lvlText w:val="%1."/>
      <w:legacy w:legacy="1" w:legacySpace="0" w:legacyIndent="283"/>
      <w:lvlJc w:val="left"/>
      <w:pPr>
        <w:ind w:left="283" w:hanging="283"/>
      </w:pPr>
    </w:lvl>
  </w:abstractNum>
  <w:abstractNum w:abstractNumId="3" w15:restartNumberingAfterBreak="0">
    <w:nsid w:val="10F00581"/>
    <w:multiLevelType w:val="singleLevel"/>
    <w:tmpl w:val="92786C1E"/>
    <w:lvl w:ilvl="0">
      <w:start w:val="1"/>
      <w:numFmt w:val="decimal"/>
      <w:lvlText w:val="%1."/>
      <w:legacy w:legacy="1" w:legacySpace="0" w:legacyIndent="283"/>
      <w:lvlJc w:val="left"/>
      <w:pPr>
        <w:ind w:left="283" w:hanging="283"/>
      </w:pPr>
    </w:lvl>
  </w:abstractNum>
  <w:abstractNum w:abstractNumId="4" w15:restartNumberingAfterBreak="0">
    <w:nsid w:val="13C63940"/>
    <w:multiLevelType w:val="hybridMultilevel"/>
    <w:tmpl w:val="9BF0B76E"/>
    <w:lvl w:ilvl="0" w:tplc="BEB2252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F27165"/>
    <w:multiLevelType w:val="hybridMultilevel"/>
    <w:tmpl w:val="F1722B26"/>
    <w:lvl w:ilvl="0" w:tplc="ADFE8A60">
      <w:start w:val="1"/>
      <w:numFmt w:val="decimal"/>
      <w:lvlText w:val="%1."/>
      <w:legacy w:legacy="1" w:legacySpace="0" w:legacyIndent="283"/>
      <w:lvlJc w:val="left"/>
      <w:pPr>
        <w:ind w:left="283" w:hanging="283"/>
      </w:pPr>
    </w:lvl>
    <w:lvl w:ilvl="1" w:tplc="04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94D4E1F"/>
    <w:multiLevelType w:val="hybridMultilevel"/>
    <w:tmpl w:val="848EC90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E002C44"/>
    <w:multiLevelType w:val="singleLevel"/>
    <w:tmpl w:val="6928ABB8"/>
    <w:lvl w:ilvl="0">
      <w:start w:val="1"/>
      <w:numFmt w:val="decimal"/>
      <w:lvlText w:val="%1."/>
      <w:legacy w:legacy="1" w:legacySpace="0" w:legacyIndent="283"/>
      <w:lvlJc w:val="left"/>
      <w:pPr>
        <w:ind w:left="283" w:hanging="283"/>
      </w:pPr>
    </w:lvl>
  </w:abstractNum>
  <w:abstractNum w:abstractNumId="8" w15:restartNumberingAfterBreak="0">
    <w:nsid w:val="20AE5D50"/>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A570765"/>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2BE06185"/>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5D19B3"/>
    <w:multiLevelType w:val="multilevel"/>
    <w:tmpl w:val="212E3E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C21779"/>
    <w:multiLevelType w:val="hybridMultilevel"/>
    <w:tmpl w:val="4900D4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4D6D1C"/>
    <w:multiLevelType w:val="hybridMultilevel"/>
    <w:tmpl w:val="4CA826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C256C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1385444"/>
    <w:multiLevelType w:val="hybridMultilevel"/>
    <w:tmpl w:val="0854F5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EF3B11"/>
    <w:multiLevelType w:val="hybridMultilevel"/>
    <w:tmpl w:val="DF90358A"/>
    <w:lvl w:ilvl="0" w:tplc="0C090003">
      <w:start w:val="1"/>
      <w:numFmt w:val="bullet"/>
      <w:lvlText w:val="o"/>
      <w:lvlJc w:val="left"/>
      <w:pPr>
        <w:ind w:left="720" w:hanging="360"/>
      </w:pPr>
      <w:rPr>
        <w:rFonts w:ascii="Courier New" w:hAnsi="Courier New" w:cs="Courier New" w:hint="default"/>
      </w:rPr>
    </w:lvl>
    <w:lvl w:ilvl="1" w:tplc="69928FBE">
      <w:numFmt w:val="bullet"/>
      <w:lvlText w:val="•"/>
      <w:lvlJc w:val="left"/>
      <w:pPr>
        <w:ind w:left="1800" w:hanging="720"/>
      </w:pPr>
      <w:rPr>
        <w:rFonts w:ascii="Gill Sans MT" w:eastAsia="Times New Roman" w:hAnsi="Gill Sans MT"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A23BFB"/>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AE457BB"/>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4D4D49BF"/>
    <w:multiLevelType w:val="hybridMultilevel"/>
    <w:tmpl w:val="B7AE2F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5C0EF3"/>
    <w:multiLevelType w:val="hybridMultilevel"/>
    <w:tmpl w:val="576E89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0662FAF"/>
    <w:multiLevelType w:val="singleLevel"/>
    <w:tmpl w:val="06AEA010"/>
    <w:lvl w:ilvl="0">
      <w:start w:val="1"/>
      <w:numFmt w:val="decimal"/>
      <w:lvlText w:val="%1."/>
      <w:legacy w:legacy="1" w:legacySpace="0" w:legacyIndent="283"/>
      <w:lvlJc w:val="left"/>
      <w:pPr>
        <w:ind w:left="283" w:hanging="283"/>
      </w:pPr>
    </w:lvl>
  </w:abstractNum>
  <w:abstractNum w:abstractNumId="26" w15:restartNumberingAfterBreak="0">
    <w:nsid w:val="563159BD"/>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6360C43"/>
    <w:multiLevelType w:val="hybridMultilevel"/>
    <w:tmpl w:val="212E3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8A44D4"/>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57E8224C"/>
    <w:multiLevelType w:val="singleLevel"/>
    <w:tmpl w:val="6B143FDC"/>
    <w:lvl w:ilvl="0">
      <w:start w:val="1"/>
      <w:numFmt w:val="decimal"/>
      <w:lvlText w:val="%1."/>
      <w:lvlJc w:val="left"/>
      <w:pPr>
        <w:tabs>
          <w:tab w:val="num" w:pos="360"/>
        </w:tabs>
        <w:ind w:left="360" w:hanging="360"/>
      </w:pPr>
    </w:lvl>
  </w:abstractNum>
  <w:abstractNum w:abstractNumId="31"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DD035C8"/>
    <w:multiLevelType w:val="multilevel"/>
    <w:tmpl w:val="0854F55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8A113A"/>
    <w:multiLevelType w:val="hybridMultilevel"/>
    <w:tmpl w:val="2F66E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1508F7"/>
    <w:multiLevelType w:val="hybridMultilevel"/>
    <w:tmpl w:val="5942D5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6342FF7"/>
    <w:multiLevelType w:val="hybridMultilevel"/>
    <w:tmpl w:val="834EB7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69E0F69"/>
    <w:multiLevelType w:val="singleLevel"/>
    <w:tmpl w:val="B3B26972"/>
    <w:lvl w:ilvl="0">
      <w:start w:val="1"/>
      <w:numFmt w:val="decimal"/>
      <w:lvlText w:val="%1."/>
      <w:lvlJc w:val="left"/>
      <w:pPr>
        <w:tabs>
          <w:tab w:val="num" w:pos="360"/>
        </w:tabs>
        <w:ind w:left="360" w:hanging="360"/>
      </w:pPr>
      <w:rPr>
        <w:rFonts w:hint="default"/>
      </w:rPr>
    </w:lvl>
  </w:abstractNum>
  <w:abstractNum w:abstractNumId="37" w15:restartNumberingAfterBreak="0">
    <w:nsid w:val="67050755"/>
    <w:multiLevelType w:val="hybridMultilevel"/>
    <w:tmpl w:val="6690416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6155AB0"/>
    <w:multiLevelType w:val="hybridMultilevel"/>
    <w:tmpl w:val="C09E25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690488"/>
    <w:multiLevelType w:val="hybridMultilevel"/>
    <w:tmpl w:val="FB6AC4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97009D9"/>
    <w:multiLevelType w:val="singleLevel"/>
    <w:tmpl w:val="0C09000F"/>
    <w:lvl w:ilvl="0">
      <w:start w:val="1"/>
      <w:numFmt w:val="decimal"/>
      <w:lvlText w:val="%1."/>
      <w:lvlJc w:val="left"/>
      <w:pPr>
        <w:tabs>
          <w:tab w:val="num" w:pos="360"/>
        </w:tabs>
        <w:ind w:left="360" w:hanging="360"/>
      </w:pPr>
    </w:lvl>
  </w:abstractNum>
  <w:abstractNum w:abstractNumId="41" w15:restartNumberingAfterBreak="0">
    <w:nsid w:val="7B0372F1"/>
    <w:multiLevelType w:val="hybridMultilevel"/>
    <w:tmpl w:val="8AC423D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F3611B8"/>
    <w:multiLevelType w:val="singleLevel"/>
    <w:tmpl w:val="B3B26972"/>
    <w:lvl w:ilvl="0">
      <w:start w:val="1"/>
      <w:numFmt w:val="decimal"/>
      <w:lvlText w:val="%1."/>
      <w:lvlJc w:val="left"/>
      <w:pPr>
        <w:tabs>
          <w:tab w:val="num" w:pos="360"/>
        </w:tabs>
        <w:ind w:left="360" w:hanging="360"/>
      </w:pPr>
      <w:rPr>
        <w:rFonts w:hint="default"/>
      </w:rPr>
    </w:lvl>
  </w:abstractNum>
  <w:num w:numId="1">
    <w:abstractNumId w:val="2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36"/>
  </w:num>
  <w:num w:numId="5">
    <w:abstractNumId w:val="5"/>
  </w:num>
  <w:num w:numId="6">
    <w:abstractNumId w:val="39"/>
  </w:num>
  <w:num w:numId="7">
    <w:abstractNumId w:val="16"/>
  </w:num>
  <w:num w:numId="8">
    <w:abstractNumId w:val="35"/>
  </w:num>
  <w:num w:numId="9">
    <w:abstractNumId w:val="27"/>
  </w:num>
  <w:num w:numId="10">
    <w:abstractNumId w:val="12"/>
  </w:num>
  <w:num w:numId="11">
    <w:abstractNumId w:val="6"/>
  </w:num>
  <w:num w:numId="12">
    <w:abstractNumId w:val="26"/>
  </w:num>
  <w:num w:numId="13">
    <w:abstractNumId w:val="10"/>
  </w:num>
  <w:num w:numId="14">
    <w:abstractNumId w:val="21"/>
  </w:num>
  <w:num w:numId="15">
    <w:abstractNumId w:val="40"/>
  </w:num>
  <w:num w:numId="16">
    <w:abstractNumId w:val="17"/>
  </w:num>
  <w:num w:numId="17">
    <w:abstractNumId w:val="33"/>
  </w:num>
  <w:num w:numId="18">
    <w:abstractNumId w:val="32"/>
  </w:num>
  <w:num w:numId="19">
    <w:abstractNumId w:val="41"/>
  </w:num>
  <w:num w:numId="20">
    <w:abstractNumId w:val="8"/>
  </w:num>
  <w:num w:numId="21">
    <w:abstractNumId w:val="0"/>
  </w:num>
  <w:num w:numId="22">
    <w:abstractNumId w:val="19"/>
  </w:num>
  <w:num w:numId="23">
    <w:abstractNumId w:val="29"/>
  </w:num>
  <w:num w:numId="24">
    <w:abstractNumId w:val="25"/>
  </w:num>
  <w:num w:numId="25">
    <w:abstractNumId w:val="7"/>
  </w:num>
  <w:num w:numId="26">
    <w:abstractNumId w:val="30"/>
  </w:num>
  <w:num w:numId="27">
    <w:abstractNumId w:val="38"/>
  </w:num>
  <w:num w:numId="28">
    <w:abstractNumId w:val="31"/>
  </w:num>
  <w:num w:numId="29">
    <w:abstractNumId w:val="24"/>
  </w:num>
  <w:num w:numId="30">
    <w:abstractNumId w:val="23"/>
  </w:num>
  <w:num w:numId="31">
    <w:abstractNumId w:val="4"/>
  </w:num>
  <w:num w:numId="32">
    <w:abstractNumId w:val="1"/>
  </w:num>
  <w:num w:numId="33">
    <w:abstractNumId w:val="14"/>
  </w:num>
  <w:num w:numId="34">
    <w:abstractNumId w:val="15"/>
  </w:num>
  <w:num w:numId="35">
    <w:abstractNumId w:val="22"/>
  </w:num>
  <w:num w:numId="36">
    <w:abstractNumId w:val="13"/>
  </w:num>
  <w:num w:numId="37">
    <w:abstractNumId w:val="28"/>
  </w:num>
  <w:num w:numId="38">
    <w:abstractNumId w:val="11"/>
  </w:num>
  <w:num w:numId="39">
    <w:abstractNumId w:val="18"/>
  </w:num>
  <w:num w:numId="40">
    <w:abstractNumId w:val="34"/>
  </w:num>
  <w:num w:numId="41">
    <w:abstractNumId w:val="37"/>
  </w:num>
  <w:num w:numId="42">
    <w:abstractNumId w:val="20"/>
  </w:num>
  <w:num w:numId="43">
    <w:abstractNumId w:val="2"/>
  </w:num>
  <w:num w:numId="4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A5"/>
    <w:rsid w:val="0000262A"/>
    <w:rsid w:val="00007552"/>
    <w:rsid w:val="000075E4"/>
    <w:rsid w:val="0001154A"/>
    <w:rsid w:val="00032C97"/>
    <w:rsid w:val="00042EDF"/>
    <w:rsid w:val="00050E66"/>
    <w:rsid w:val="00052C4C"/>
    <w:rsid w:val="000566C5"/>
    <w:rsid w:val="0006158F"/>
    <w:rsid w:val="00065431"/>
    <w:rsid w:val="00075C70"/>
    <w:rsid w:val="00076775"/>
    <w:rsid w:val="00077F66"/>
    <w:rsid w:val="000903C2"/>
    <w:rsid w:val="000A311B"/>
    <w:rsid w:val="000A408A"/>
    <w:rsid w:val="000B5356"/>
    <w:rsid w:val="000C2E3E"/>
    <w:rsid w:val="000E0D7E"/>
    <w:rsid w:val="00101679"/>
    <w:rsid w:val="0011216C"/>
    <w:rsid w:val="001215F1"/>
    <w:rsid w:val="00123ABE"/>
    <w:rsid w:val="001262A2"/>
    <w:rsid w:val="001324E7"/>
    <w:rsid w:val="00133E64"/>
    <w:rsid w:val="001371B5"/>
    <w:rsid w:val="00147D26"/>
    <w:rsid w:val="00151C10"/>
    <w:rsid w:val="00154BEB"/>
    <w:rsid w:val="001713A2"/>
    <w:rsid w:val="001729ED"/>
    <w:rsid w:val="00177261"/>
    <w:rsid w:val="00186DA5"/>
    <w:rsid w:val="00187BF5"/>
    <w:rsid w:val="001B45E2"/>
    <w:rsid w:val="001D6600"/>
    <w:rsid w:val="001E1669"/>
    <w:rsid w:val="001E5D40"/>
    <w:rsid w:val="001F1F90"/>
    <w:rsid w:val="00203D8A"/>
    <w:rsid w:val="00206908"/>
    <w:rsid w:val="00215FAF"/>
    <w:rsid w:val="002475D5"/>
    <w:rsid w:val="00250368"/>
    <w:rsid w:val="00251B02"/>
    <w:rsid w:val="00257138"/>
    <w:rsid w:val="00271804"/>
    <w:rsid w:val="002865A1"/>
    <w:rsid w:val="00286BF8"/>
    <w:rsid w:val="00290451"/>
    <w:rsid w:val="002B33EB"/>
    <w:rsid w:val="002B568D"/>
    <w:rsid w:val="002B6C04"/>
    <w:rsid w:val="002B7C3E"/>
    <w:rsid w:val="002C37CD"/>
    <w:rsid w:val="002D47CE"/>
    <w:rsid w:val="002E68B0"/>
    <w:rsid w:val="003064AF"/>
    <w:rsid w:val="0031067E"/>
    <w:rsid w:val="00316BF6"/>
    <w:rsid w:val="00325DD9"/>
    <w:rsid w:val="00327038"/>
    <w:rsid w:val="00341516"/>
    <w:rsid w:val="00345AC5"/>
    <w:rsid w:val="00352F9B"/>
    <w:rsid w:val="003722B8"/>
    <w:rsid w:val="00373AB6"/>
    <w:rsid w:val="00384C6A"/>
    <w:rsid w:val="003A2483"/>
    <w:rsid w:val="003A4B04"/>
    <w:rsid w:val="003C69DA"/>
    <w:rsid w:val="003E5DD5"/>
    <w:rsid w:val="003E7D93"/>
    <w:rsid w:val="00404992"/>
    <w:rsid w:val="0040567E"/>
    <w:rsid w:val="00415230"/>
    <w:rsid w:val="00424B95"/>
    <w:rsid w:val="00430D4D"/>
    <w:rsid w:val="004356FE"/>
    <w:rsid w:val="004B077B"/>
    <w:rsid w:val="004B1AB4"/>
    <w:rsid w:val="004D2605"/>
    <w:rsid w:val="004E5847"/>
    <w:rsid w:val="0051515D"/>
    <w:rsid w:val="0052432F"/>
    <w:rsid w:val="005247AF"/>
    <w:rsid w:val="00525372"/>
    <w:rsid w:val="005342D7"/>
    <w:rsid w:val="005413CE"/>
    <w:rsid w:val="00545E69"/>
    <w:rsid w:val="00547224"/>
    <w:rsid w:val="00547648"/>
    <w:rsid w:val="005516E4"/>
    <w:rsid w:val="0057322C"/>
    <w:rsid w:val="00573A71"/>
    <w:rsid w:val="00580CD3"/>
    <w:rsid w:val="005A0058"/>
    <w:rsid w:val="005B6E03"/>
    <w:rsid w:val="005D2B87"/>
    <w:rsid w:val="005D6329"/>
    <w:rsid w:val="005D72FB"/>
    <w:rsid w:val="005E0CDE"/>
    <w:rsid w:val="005E7C16"/>
    <w:rsid w:val="00604CAD"/>
    <w:rsid w:val="00636127"/>
    <w:rsid w:val="00640254"/>
    <w:rsid w:val="0064578D"/>
    <w:rsid w:val="00647F72"/>
    <w:rsid w:val="0066596E"/>
    <w:rsid w:val="00676377"/>
    <w:rsid w:val="00695E66"/>
    <w:rsid w:val="006A0EE6"/>
    <w:rsid w:val="006B20B4"/>
    <w:rsid w:val="006B577F"/>
    <w:rsid w:val="006B60E4"/>
    <w:rsid w:val="006D02B7"/>
    <w:rsid w:val="006D0906"/>
    <w:rsid w:val="006D43FA"/>
    <w:rsid w:val="00701304"/>
    <w:rsid w:val="00703913"/>
    <w:rsid w:val="00713C53"/>
    <w:rsid w:val="007211AC"/>
    <w:rsid w:val="00737413"/>
    <w:rsid w:val="00743E5B"/>
    <w:rsid w:val="007548AF"/>
    <w:rsid w:val="00764027"/>
    <w:rsid w:val="00764252"/>
    <w:rsid w:val="00770025"/>
    <w:rsid w:val="0077509D"/>
    <w:rsid w:val="00786FA5"/>
    <w:rsid w:val="007B196F"/>
    <w:rsid w:val="007B67E4"/>
    <w:rsid w:val="007C05D1"/>
    <w:rsid w:val="007C10FF"/>
    <w:rsid w:val="007C18A0"/>
    <w:rsid w:val="007C2F68"/>
    <w:rsid w:val="007C3613"/>
    <w:rsid w:val="007D1E40"/>
    <w:rsid w:val="007D35B1"/>
    <w:rsid w:val="007E2B41"/>
    <w:rsid w:val="00812E41"/>
    <w:rsid w:val="0083242E"/>
    <w:rsid w:val="00855862"/>
    <w:rsid w:val="0086697D"/>
    <w:rsid w:val="00883522"/>
    <w:rsid w:val="00885142"/>
    <w:rsid w:val="008967F6"/>
    <w:rsid w:val="00896A28"/>
    <w:rsid w:val="008A5726"/>
    <w:rsid w:val="008C0043"/>
    <w:rsid w:val="008C1F7D"/>
    <w:rsid w:val="008C20EA"/>
    <w:rsid w:val="008C4AF1"/>
    <w:rsid w:val="008C6A0B"/>
    <w:rsid w:val="008D5696"/>
    <w:rsid w:val="008E3768"/>
    <w:rsid w:val="008F2BDA"/>
    <w:rsid w:val="008F5CD8"/>
    <w:rsid w:val="00902909"/>
    <w:rsid w:val="009077E0"/>
    <w:rsid w:val="00907D71"/>
    <w:rsid w:val="00912BA2"/>
    <w:rsid w:val="00914655"/>
    <w:rsid w:val="009202FA"/>
    <w:rsid w:val="00920CB5"/>
    <w:rsid w:val="009402EF"/>
    <w:rsid w:val="009443E0"/>
    <w:rsid w:val="0096182E"/>
    <w:rsid w:val="00961FA8"/>
    <w:rsid w:val="00970C76"/>
    <w:rsid w:val="009722A0"/>
    <w:rsid w:val="00993860"/>
    <w:rsid w:val="00997B7B"/>
    <w:rsid w:val="009A0328"/>
    <w:rsid w:val="009E27CA"/>
    <w:rsid w:val="009E4128"/>
    <w:rsid w:val="009E5328"/>
    <w:rsid w:val="00A00222"/>
    <w:rsid w:val="00A11CDE"/>
    <w:rsid w:val="00A157A3"/>
    <w:rsid w:val="00A17598"/>
    <w:rsid w:val="00A41183"/>
    <w:rsid w:val="00A47406"/>
    <w:rsid w:val="00A5658E"/>
    <w:rsid w:val="00A61D7A"/>
    <w:rsid w:val="00A62996"/>
    <w:rsid w:val="00A8363A"/>
    <w:rsid w:val="00A931C0"/>
    <w:rsid w:val="00A94CA1"/>
    <w:rsid w:val="00A95F99"/>
    <w:rsid w:val="00A96030"/>
    <w:rsid w:val="00A963D2"/>
    <w:rsid w:val="00A97B81"/>
    <w:rsid w:val="00AA04DF"/>
    <w:rsid w:val="00AA3032"/>
    <w:rsid w:val="00AB14E5"/>
    <w:rsid w:val="00AB4DE6"/>
    <w:rsid w:val="00AB5370"/>
    <w:rsid w:val="00AC671A"/>
    <w:rsid w:val="00AD0DF9"/>
    <w:rsid w:val="00AD701F"/>
    <w:rsid w:val="00AE6C0D"/>
    <w:rsid w:val="00AF4CC1"/>
    <w:rsid w:val="00B0226B"/>
    <w:rsid w:val="00B05A13"/>
    <w:rsid w:val="00B16306"/>
    <w:rsid w:val="00B17F27"/>
    <w:rsid w:val="00B44484"/>
    <w:rsid w:val="00B50D6E"/>
    <w:rsid w:val="00B51F46"/>
    <w:rsid w:val="00B531B3"/>
    <w:rsid w:val="00B711AD"/>
    <w:rsid w:val="00B76F8E"/>
    <w:rsid w:val="00B87680"/>
    <w:rsid w:val="00B91979"/>
    <w:rsid w:val="00B94A03"/>
    <w:rsid w:val="00BA3103"/>
    <w:rsid w:val="00BB1079"/>
    <w:rsid w:val="00BB7D26"/>
    <w:rsid w:val="00BF11E2"/>
    <w:rsid w:val="00C10317"/>
    <w:rsid w:val="00C15439"/>
    <w:rsid w:val="00C23C69"/>
    <w:rsid w:val="00C25357"/>
    <w:rsid w:val="00C32ABE"/>
    <w:rsid w:val="00C3332B"/>
    <w:rsid w:val="00C42140"/>
    <w:rsid w:val="00C46BD2"/>
    <w:rsid w:val="00C54710"/>
    <w:rsid w:val="00C56890"/>
    <w:rsid w:val="00C665A6"/>
    <w:rsid w:val="00C75BCD"/>
    <w:rsid w:val="00C77013"/>
    <w:rsid w:val="00C77658"/>
    <w:rsid w:val="00C779A3"/>
    <w:rsid w:val="00C85DFB"/>
    <w:rsid w:val="00C92FDE"/>
    <w:rsid w:val="00CA40F1"/>
    <w:rsid w:val="00CA5954"/>
    <w:rsid w:val="00CB1A17"/>
    <w:rsid w:val="00CC3B4E"/>
    <w:rsid w:val="00CD0B04"/>
    <w:rsid w:val="00CD162D"/>
    <w:rsid w:val="00CD3385"/>
    <w:rsid w:val="00CD4A50"/>
    <w:rsid w:val="00CD50E2"/>
    <w:rsid w:val="00CE3461"/>
    <w:rsid w:val="00CF49A7"/>
    <w:rsid w:val="00D1078F"/>
    <w:rsid w:val="00D23355"/>
    <w:rsid w:val="00D41E7E"/>
    <w:rsid w:val="00D52B8F"/>
    <w:rsid w:val="00D570B3"/>
    <w:rsid w:val="00D67977"/>
    <w:rsid w:val="00D67FFD"/>
    <w:rsid w:val="00D72FFC"/>
    <w:rsid w:val="00D76ACF"/>
    <w:rsid w:val="00D92339"/>
    <w:rsid w:val="00D941E3"/>
    <w:rsid w:val="00DA1BA1"/>
    <w:rsid w:val="00DA328E"/>
    <w:rsid w:val="00DA63F6"/>
    <w:rsid w:val="00DA7632"/>
    <w:rsid w:val="00DB2B4F"/>
    <w:rsid w:val="00DC01E5"/>
    <w:rsid w:val="00DC7124"/>
    <w:rsid w:val="00DD6BA0"/>
    <w:rsid w:val="00DF762D"/>
    <w:rsid w:val="00E046D4"/>
    <w:rsid w:val="00E05EE4"/>
    <w:rsid w:val="00E14CF2"/>
    <w:rsid w:val="00E26854"/>
    <w:rsid w:val="00E3007B"/>
    <w:rsid w:val="00E47B7F"/>
    <w:rsid w:val="00E52C76"/>
    <w:rsid w:val="00E52DEF"/>
    <w:rsid w:val="00E57665"/>
    <w:rsid w:val="00E762CD"/>
    <w:rsid w:val="00E900B3"/>
    <w:rsid w:val="00EB5FC3"/>
    <w:rsid w:val="00ED519E"/>
    <w:rsid w:val="00EE2E89"/>
    <w:rsid w:val="00EE3D96"/>
    <w:rsid w:val="00EE6BAB"/>
    <w:rsid w:val="00EF29FD"/>
    <w:rsid w:val="00EF52F3"/>
    <w:rsid w:val="00F0007E"/>
    <w:rsid w:val="00F2123A"/>
    <w:rsid w:val="00F25B48"/>
    <w:rsid w:val="00F37083"/>
    <w:rsid w:val="00F652A5"/>
    <w:rsid w:val="00F70E56"/>
    <w:rsid w:val="00F71947"/>
    <w:rsid w:val="00F71DE3"/>
    <w:rsid w:val="00F727F6"/>
    <w:rsid w:val="00F92E2A"/>
    <w:rsid w:val="00F94D7A"/>
    <w:rsid w:val="00FC4081"/>
    <w:rsid w:val="00FC6C06"/>
    <w:rsid w:val="00FD00CB"/>
    <w:rsid w:val="00FD5A58"/>
    <w:rsid w:val="00FE1FD3"/>
    <w:rsid w:val="00FE2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72FF5E31"/>
  <w15:chartTrackingRefBased/>
  <w15:docId w15:val="{AED64AA4-4AAC-4E56-8BE6-3FA90A39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655"/>
    <w:rPr>
      <w:rFonts w:ascii="Gill Sans MT" w:hAnsi="Gill Sans MT"/>
      <w:sz w:val="24"/>
      <w:lang w:eastAsia="en-US"/>
    </w:rPr>
  </w:style>
  <w:style w:type="paragraph" w:styleId="Heading1">
    <w:name w:val="heading 1"/>
    <w:basedOn w:val="Normal"/>
    <w:next w:val="Normal"/>
    <w:link w:val="Heading1Char"/>
    <w:qFormat/>
    <w:rsid w:val="00065431"/>
    <w:pPr>
      <w:keepNext/>
      <w:keepLines/>
      <w:spacing w:before="480" w:after="480"/>
      <w:jc w:val="center"/>
      <w:outlineLvl w:val="0"/>
    </w:pPr>
    <w:rPr>
      <w:rFonts w:eastAsiaTheme="majorEastAsia" w:cstheme="majorBidi"/>
      <w:b/>
      <w:spacing w:val="20"/>
      <w:sz w:val="32"/>
      <w:szCs w:val="32"/>
    </w:rPr>
  </w:style>
  <w:style w:type="paragraph" w:styleId="Heading2">
    <w:name w:val="heading 2"/>
    <w:basedOn w:val="Normal"/>
    <w:next w:val="Normal"/>
    <w:qFormat/>
    <w:rsid w:val="00A97B81"/>
    <w:pPr>
      <w:keepNext/>
      <w:spacing w:before="240" w:after="240"/>
      <w:outlineLvl w:val="1"/>
    </w:pPr>
    <w:rPr>
      <w:b/>
      <w:color w:val="A8A400"/>
      <w:sz w:val="28"/>
    </w:rPr>
  </w:style>
  <w:style w:type="paragraph" w:styleId="Heading3">
    <w:name w:val="heading 3"/>
    <w:basedOn w:val="Normal"/>
    <w:next w:val="Normal"/>
    <w:link w:val="Heading3Char"/>
    <w:qFormat/>
    <w:rsid w:val="00A97B81"/>
    <w:pPr>
      <w:keepNext/>
      <w:spacing w:before="240" w:after="240"/>
      <w:outlineLvl w:val="2"/>
    </w:pPr>
    <w:rPr>
      <w:rFonts w:cs="Arial"/>
      <w:b/>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Header"/>
    <w:pPr>
      <w:widowControl w:val="0"/>
      <w:tabs>
        <w:tab w:val="clear" w:pos="4153"/>
        <w:tab w:val="clear" w:pos="8306"/>
        <w:tab w:val="center" w:pos="4320"/>
        <w:tab w:val="right" w:pos="8640"/>
      </w:tabs>
      <w:suppressAutoHyphens/>
      <w:autoSpaceDE w:val="0"/>
      <w:autoSpaceDN w:val="0"/>
      <w:adjustRightInd w:val="0"/>
      <w:spacing w:before="57" w:line="310" w:lineRule="atLeast"/>
      <w:textAlignment w:val="baseline"/>
    </w:pPr>
    <w:rPr>
      <w:rFonts w:ascii="GillSans-Light" w:hAnsi="GillSans-Light"/>
      <w:color w:val="000000"/>
      <w:sz w:val="23"/>
      <w:szCs w:val="23"/>
    </w:rPr>
  </w:style>
  <w:style w:type="paragraph" w:styleId="Header">
    <w:name w:val="header"/>
    <w:basedOn w:val="Normal"/>
    <w:pPr>
      <w:tabs>
        <w:tab w:val="center" w:pos="4153"/>
        <w:tab w:val="right" w:pos="8306"/>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paragraph" w:styleId="Footer">
    <w:name w:val="footer"/>
    <w:basedOn w:val="Normal"/>
    <w:rsid w:val="00636127"/>
    <w:pPr>
      <w:tabs>
        <w:tab w:val="center" w:pos="4153"/>
        <w:tab w:val="right" w:pos="8306"/>
      </w:tabs>
    </w:pPr>
  </w:style>
  <w:style w:type="paragraph" w:styleId="BodyText2">
    <w:name w:val="Body Text 2"/>
    <w:basedOn w:val="Normal"/>
    <w:rsid w:val="00186DA5"/>
    <w:rPr>
      <w:rFonts w:ascii="Arial" w:hAnsi="Arial" w:cs="Arial"/>
      <w:sz w:val="20"/>
    </w:rPr>
  </w:style>
  <w:style w:type="paragraph" w:styleId="Title">
    <w:name w:val="Title"/>
    <w:basedOn w:val="Normal"/>
    <w:qFormat/>
    <w:rsid w:val="00914655"/>
    <w:pPr>
      <w:jc w:val="center"/>
    </w:pPr>
    <w:rPr>
      <w:rFonts w:cs="Arial"/>
      <w:b/>
      <w:sz w:val="32"/>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186DA5"/>
    <w:pPr>
      <w:spacing w:before="100" w:beforeAutospacing="1" w:after="100" w:afterAutospacing="1"/>
    </w:pPr>
    <w:rPr>
      <w:szCs w:val="24"/>
      <w:lang w:val="en-US"/>
    </w:rPr>
  </w:style>
  <w:style w:type="character" w:styleId="Hyperlink">
    <w:name w:val="Hyperlink"/>
    <w:rsid w:val="00186DA5"/>
    <w:rPr>
      <w:color w:val="0000FF"/>
      <w:u w:val="single"/>
    </w:rPr>
  </w:style>
  <w:style w:type="paragraph" w:styleId="BalloonText">
    <w:name w:val="Balloon Text"/>
    <w:basedOn w:val="Normal"/>
    <w:semiHidden/>
    <w:rsid w:val="002475D5"/>
    <w:rPr>
      <w:rFonts w:ascii="Tahoma" w:hAnsi="Tahoma" w:cs="Tahoma"/>
      <w:sz w:val="16"/>
      <w:szCs w:val="16"/>
    </w:rPr>
  </w:style>
  <w:style w:type="paragraph" w:styleId="BodyText3">
    <w:name w:val="Body Text 3"/>
    <w:basedOn w:val="Normal"/>
    <w:rsid w:val="00A5658E"/>
    <w:pPr>
      <w:spacing w:after="120"/>
    </w:pPr>
    <w:rPr>
      <w:sz w:val="16"/>
      <w:szCs w:val="16"/>
    </w:rPr>
  </w:style>
  <w:style w:type="paragraph" w:styleId="BodyText">
    <w:name w:val="Body Text"/>
    <w:basedOn w:val="Normal"/>
    <w:rsid w:val="00BB1079"/>
    <w:pPr>
      <w:spacing w:after="120"/>
    </w:pPr>
  </w:style>
  <w:style w:type="character" w:styleId="PageNumber">
    <w:name w:val="page number"/>
    <w:basedOn w:val="DefaultParagraphFont"/>
    <w:rsid w:val="008C20EA"/>
  </w:style>
  <w:style w:type="character" w:styleId="CommentReference">
    <w:name w:val="annotation reference"/>
    <w:rsid w:val="00EE2E89"/>
    <w:rPr>
      <w:sz w:val="16"/>
      <w:szCs w:val="16"/>
    </w:rPr>
  </w:style>
  <w:style w:type="paragraph" w:styleId="CommentText">
    <w:name w:val="annotation text"/>
    <w:basedOn w:val="Normal"/>
    <w:link w:val="CommentTextChar"/>
    <w:rsid w:val="00EE2E89"/>
    <w:rPr>
      <w:sz w:val="20"/>
    </w:rPr>
  </w:style>
  <w:style w:type="character" w:customStyle="1" w:styleId="CommentTextChar">
    <w:name w:val="Comment Text Char"/>
    <w:link w:val="CommentText"/>
    <w:rsid w:val="00EE2E89"/>
    <w:rPr>
      <w:lang w:eastAsia="en-US"/>
    </w:rPr>
  </w:style>
  <w:style w:type="paragraph" w:styleId="CommentSubject">
    <w:name w:val="annotation subject"/>
    <w:basedOn w:val="CommentText"/>
    <w:next w:val="CommentText"/>
    <w:link w:val="CommentSubjectChar"/>
    <w:rsid w:val="00EE2E89"/>
    <w:rPr>
      <w:b/>
      <w:bCs/>
    </w:rPr>
  </w:style>
  <w:style w:type="character" w:customStyle="1" w:styleId="CommentSubjectChar">
    <w:name w:val="Comment Subject Char"/>
    <w:link w:val="CommentSubject"/>
    <w:rsid w:val="00EE2E89"/>
    <w:rPr>
      <w:b/>
      <w:bCs/>
      <w:lang w:eastAsia="en-US"/>
    </w:rPr>
  </w:style>
  <w:style w:type="paragraph" w:styleId="ListParagraph">
    <w:name w:val="List Paragraph"/>
    <w:basedOn w:val="Normal"/>
    <w:uiPriority w:val="34"/>
    <w:qFormat/>
    <w:rsid w:val="00E14CF2"/>
    <w:pPr>
      <w:spacing w:after="160" w:line="259"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065431"/>
    <w:rPr>
      <w:rFonts w:ascii="Gill Sans MT" w:eastAsiaTheme="majorEastAsia" w:hAnsi="Gill Sans MT" w:cstheme="majorBidi"/>
      <w:b/>
      <w:spacing w:val="20"/>
      <w:sz w:val="32"/>
      <w:szCs w:val="32"/>
      <w:lang w:eastAsia="en-US"/>
    </w:rPr>
  </w:style>
  <w:style w:type="table" w:styleId="TableGrid">
    <w:name w:val="Table Grid"/>
    <w:basedOn w:val="TableNormal"/>
    <w:rsid w:val="00A9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A2483"/>
    <w:rPr>
      <w:i/>
      <w:iCs/>
    </w:rPr>
  </w:style>
  <w:style w:type="character" w:customStyle="1" w:styleId="Heading3Char">
    <w:name w:val="Heading 3 Char"/>
    <w:basedOn w:val="DefaultParagraphFont"/>
    <w:link w:val="Heading3"/>
    <w:rsid w:val="00FC4081"/>
    <w:rPr>
      <w:rFonts w:ascii="Gill Sans MT" w:hAnsi="Gill Sans MT" w:cs="Arial"/>
      <w:b/>
      <w:color w:val="2F5496" w:themeColor="accent5" w:themeShade="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97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tas.gov.au/documentcentre/Documents/Conditions-of-Use-Policy-for-All-Users-of-Information-and-Communication-Technology.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pac.tas.gov.au/divisions/ssm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58E1B6B0BC284D9BA155B3E734020A" ma:contentTypeVersion="2" ma:contentTypeDescription="Create a new document." ma:contentTypeScope="" ma:versionID="e852ef5ff5f94570d2533cfaba16cdf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A3E3-009A-4A25-BE66-8662FB7C8712}">
  <ds:schemaRefs>
    <ds:schemaRef ds:uri="http://schemas.microsoft.com/office/2006/metadata/longProperties"/>
  </ds:schemaRefs>
</ds:datastoreItem>
</file>

<file path=customXml/itemProps2.xml><?xml version="1.0" encoding="utf-8"?>
<ds:datastoreItem xmlns:ds="http://schemas.openxmlformats.org/officeDocument/2006/customXml" ds:itemID="{0ED86051-2A25-446B-B365-3693ED0F1AE7}">
  <ds:schemaRef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443814FA-0E23-4EE4-8580-FFCC7CF78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9296F5-E589-4ADB-873D-8B4A295983CE}">
  <ds:schemaRefs>
    <ds:schemaRef ds:uri="http://schemas.microsoft.com/sharepoint/v3/contenttype/forms"/>
  </ds:schemaRefs>
</ds:datastoreItem>
</file>

<file path=customXml/itemProps5.xml><?xml version="1.0" encoding="utf-8"?>
<ds:datastoreItem xmlns:ds="http://schemas.openxmlformats.org/officeDocument/2006/customXml" ds:itemID="{EFD886E4-1387-43B8-94A3-E4A73CC6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TITLE</vt:lpstr>
    </vt:vector>
  </TitlesOfParts>
  <Company>Department of Education</Company>
  <LinksUpToDate>false</LinksUpToDate>
  <CharactersWithSpaces>12723</CharactersWithSpaces>
  <SharedDoc>false</SharedDoc>
  <HLinks>
    <vt:vector size="12" baseType="variant">
      <vt:variant>
        <vt:i4>720919</vt:i4>
      </vt:variant>
      <vt:variant>
        <vt:i4>3</vt:i4>
      </vt:variant>
      <vt:variant>
        <vt:i4>0</vt:i4>
      </vt:variant>
      <vt:variant>
        <vt:i4>5</vt:i4>
      </vt:variant>
      <vt:variant>
        <vt:lpwstr>https://www.education.tas.gov.au/documentcentre/Documents/Conditions-of-Use-Policy-for-All-Users-of-Information-and-Communication-Technology.pdf</vt:lpwstr>
      </vt:variant>
      <vt:variant>
        <vt:lpwstr/>
      </vt:variant>
      <vt:variant>
        <vt:i4>1572928</vt:i4>
      </vt:variant>
      <vt:variant>
        <vt:i4>0</vt:i4>
      </vt:variant>
      <vt:variant>
        <vt:i4>0</vt:i4>
      </vt:variant>
      <vt:variant>
        <vt:i4>5</vt:i4>
      </vt:variant>
      <vt:variant>
        <vt:lpwstr>http://www.dpac.tas.gov.au/divisions/ssmo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Scott.Smith</dc:creator>
  <cp:keywords>Department of Education</cp:keywords>
  <cp:lastModifiedBy>Dillon, Julia G</cp:lastModifiedBy>
  <cp:revision>9</cp:revision>
  <cp:lastPrinted>2012-01-17T01:13:00Z</cp:lastPrinted>
  <dcterms:created xsi:type="dcterms:W3CDTF">2019-04-30T00:11:00Z</dcterms:created>
  <dcterms:modified xsi:type="dcterms:W3CDTF">2020-05-25T05:04:00Z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ch">
    <vt:lpwstr>Corporate Services</vt:lpwstr>
  </property>
  <property fmtid="{D5CDD505-2E9C-101B-9397-08002B2CF9AE}" pid="3" name="Classification Award">
    <vt:lpwstr>Administrative and Clerical Employees</vt:lpwstr>
  </property>
  <property fmtid="{D5CDD505-2E9C-101B-9397-08002B2CF9AE}" pid="4" name="Classification Level">
    <vt:lpwstr>band4</vt:lpwstr>
  </property>
  <property fmtid="{D5CDD505-2E9C-101B-9397-08002B2CF9AE}" pid="5" name="Leave During Appointment">
    <vt:lpwstr/>
  </property>
  <property fmtid="{D5CDD505-2E9C-101B-9397-08002B2CF9AE}" pid="6" name="Overtime">
    <vt:lpwstr/>
  </property>
  <property fmtid="{D5CDD505-2E9C-101B-9397-08002B2CF9AE}" pid="7" name="Position Number">
    <vt:lpwstr>Generic</vt:lpwstr>
  </property>
  <property fmtid="{D5CDD505-2E9C-101B-9397-08002B2CF9AE}" pid="8" name="Position Status">
    <vt:lpwstr>Permanent</vt:lpwstr>
  </property>
  <property fmtid="{D5CDD505-2E9C-101B-9397-08002B2CF9AE}" pid="9" name="Pre-Employment Check">
    <vt:lpwstr>Yes</vt:lpwstr>
  </property>
  <property fmtid="{D5CDD505-2E9C-101B-9397-08002B2CF9AE}" pid="10" name="Relinquish">
    <vt:lpwstr/>
  </property>
  <property fmtid="{D5CDD505-2E9C-101B-9397-08002B2CF9AE}" pid="11" name="Section">
    <vt:lpwstr>HR Policy and Workforce Management</vt:lpwstr>
  </property>
  <property fmtid="{D5CDD505-2E9C-101B-9397-08002B2CF9AE}" pid="12" name="Travel">
    <vt:lpwstr/>
  </property>
  <property fmtid="{D5CDD505-2E9C-101B-9397-08002B2CF9AE}" pid="13" name="Weeks in Year">
    <vt:lpwstr>52</vt:lpwstr>
  </property>
  <property fmtid="{D5CDD505-2E9C-101B-9397-08002B2CF9AE}" pid="14" name="Weeks of Leave">
    <vt:lpwstr>4</vt:lpwstr>
  </property>
  <property fmtid="{D5CDD505-2E9C-101B-9397-08002B2CF9AE}" pid="15" name="ContentType">
    <vt:lpwstr>Document</vt:lpwstr>
  </property>
  <property fmtid="{D5CDD505-2E9C-101B-9397-08002B2CF9AE}" pid="16" name="display_urn:schemas-microsoft-com:office:office#Editor">
    <vt:lpwstr>Cousens, Eli J</vt:lpwstr>
  </property>
  <property fmtid="{D5CDD505-2E9C-101B-9397-08002B2CF9AE}" pid="17" name="TemplateUrl">
    <vt:lpwstr/>
  </property>
  <property fmtid="{D5CDD505-2E9C-101B-9397-08002B2CF9AE}" pid="18" name="xd_ProgID">
    <vt:lpwstr/>
  </property>
  <property fmtid="{D5CDD505-2E9C-101B-9397-08002B2CF9AE}" pid="19" name="display_urn:schemas-microsoft-com:office:office#Author">
    <vt:lpwstr>Batchelor, Terry</vt:lpwstr>
  </property>
  <property fmtid="{D5CDD505-2E9C-101B-9397-08002B2CF9AE}" pid="20" name="Order">
    <vt:lpwstr>148100.000000000</vt:lpwstr>
  </property>
</Properties>
</file>