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DA5" w:rsidRPr="00DA1BA1" w:rsidRDefault="00154BEB" w:rsidP="00914655">
      <w:pPr>
        <w:pStyle w:val="Title"/>
      </w:pPr>
      <w:r w:rsidRPr="00DA1BA1">
        <w:t xml:space="preserve"> </w:t>
      </w:r>
      <w:r w:rsidR="00186DA5" w:rsidRPr="00DA1BA1">
        <w:t>Department of Education</w:t>
      </w:r>
    </w:p>
    <w:p w:rsidR="00186DA5" w:rsidRPr="00DA1BA1" w:rsidRDefault="00186DA5" w:rsidP="00A97B81">
      <w:pPr>
        <w:pStyle w:val="Heading1"/>
      </w:pPr>
      <w:r w:rsidRPr="00DA1BA1">
        <w:t xml:space="preserve">STATEMENT OF DUTIES – </w:t>
      </w:r>
      <w:r w:rsidR="00914533">
        <w:t>February 2018</w:t>
      </w:r>
    </w:p>
    <w:tbl>
      <w:tblPr>
        <w:tblW w:w="9826" w:type="dxa"/>
        <w:tblInd w:w="108" w:type="dxa"/>
        <w:tblLayout w:type="fixed"/>
        <w:tblLook w:val="0000" w:firstRow="0" w:lastRow="0" w:firstColumn="0" w:lastColumn="0" w:noHBand="0" w:noVBand="0"/>
      </w:tblPr>
      <w:tblGrid>
        <w:gridCol w:w="3261"/>
        <w:gridCol w:w="6565"/>
      </w:tblGrid>
      <w:tr w:rsidR="00914533" w:rsidRPr="00DA1BA1" w:rsidTr="00A97B81">
        <w:trPr>
          <w:cantSplit/>
          <w:tblHeader/>
        </w:trPr>
        <w:tc>
          <w:tcPr>
            <w:tcW w:w="3261" w:type="dxa"/>
          </w:tcPr>
          <w:p w:rsidR="00914533" w:rsidRPr="000B5356" w:rsidRDefault="00914533" w:rsidP="00914533">
            <w:pPr>
              <w:spacing w:before="60" w:after="60"/>
              <w:jc w:val="right"/>
              <w:rPr>
                <w:b/>
              </w:rPr>
            </w:pPr>
            <w:r w:rsidRPr="000B5356">
              <w:rPr>
                <w:b/>
              </w:rPr>
              <w:t>Title</w:t>
            </w:r>
          </w:p>
        </w:tc>
        <w:tc>
          <w:tcPr>
            <w:tcW w:w="6565" w:type="dxa"/>
          </w:tcPr>
          <w:p w:rsidR="00914533" w:rsidRPr="00151C10" w:rsidRDefault="00914533" w:rsidP="00914533">
            <w:pPr>
              <w:spacing w:before="60" w:after="60"/>
              <w:rPr>
                <w:szCs w:val="24"/>
              </w:rPr>
            </w:pPr>
            <w:r>
              <w:rPr>
                <w:rFonts w:cs="Arial"/>
              </w:rPr>
              <w:t>Senior Professional Conduct Officer</w:t>
            </w:r>
          </w:p>
        </w:tc>
      </w:tr>
      <w:tr w:rsidR="00914533" w:rsidRPr="00DA1BA1" w:rsidTr="00A97B81">
        <w:trPr>
          <w:cantSplit/>
          <w:tblHeader/>
        </w:trPr>
        <w:tc>
          <w:tcPr>
            <w:tcW w:w="3261" w:type="dxa"/>
          </w:tcPr>
          <w:p w:rsidR="00914533" w:rsidRPr="000B5356" w:rsidRDefault="00914533" w:rsidP="00914533">
            <w:pPr>
              <w:spacing w:before="60" w:after="60"/>
              <w:jc w:val="right"/>
              <w:rPr>
                <w:b/>
              </w:rPr>
            </w:pPr>
            <w:r w:rsidRPr="000B5356">
              <w:rPr>
                <w:b/>
              </w:rPr>
              <w:t>Number</w:t>
            </w:r>
          </w:p>
        </w:tc>
        <w:tc>
          <w:tcPr>
            <w:tcW w:w="6565" w:type="dxa"/>
          </w:tcPr>
          <w:p w:rsidR="00914533" w:rsidRPr="00DA1BA1" w:rsidRDefault="00914533" w:rsidP="00914533">
            <w:pPr>
              <w:spacing w:before="60" w:after="60"/>
              <w:rPr>
                <w:szCs w:val="24"/>
              </w:rPr>
            </w:pPr>
            <w:r>
              <w:t>Generic</w:t>
            </w:r>
          </w:p>
        </w:tc>
      </w:tr>
      <w:tr w:rsidR="00914533" w:rsidRPr="00DA1BA1" w:rsidTr="00A97B81">
        <w:trPr>
          <w:cantSplit/>
          <w:tblHeader/>
        </w:trPr>
        <w:tc>
          <w:tcPr>
            <w:tcW w:w="3261" w:type="dxa"/>
          </w:tcPr>
          <w:p w:rsidR="00914533" w:rsidRPr="000B5356" w:rsidRDefault="00914533" w:rsidP="00914533">
            <w:pPr>
              <w:pStyle w:val="Heading3"/>
              <w:spacing w:before="60" w:after="60"/>
              <w:jc w:val="right"/>
              <w:rPr>
                <w:color w:val="auto"/>
                <w:szCs w:val="24"/>
              </w:rPr>
            </w:pPr>
            <w:r w:rsidRPr="000B5356">
              <w:rPr>
                <w:color w:val="auto"/>
                <w:szCs w:val="24"/>
              </w:rPr>
              <w:t>Division</w:t>
            </w:r>
          </w:p>
        </w:tc>
        <w:tc>
          <w:tcPr>
            <w:tcW w:w="6565" w:type="dxa"/>
          </w:tcPr>
          <w:p w:rsidR="00914533" w:rsidRPr="00DA1BA1" w:rsidRDefault="00914533" w:rsidP="00914533">
            <w:pPr>
              <w:spacing w:before="60" w:after="60"/>
              <w:rPr>
                <w:szCs w:val="24"/>
              </w:rPr>
            </w:pPr>
            <w:r>
              <w:rPr>
                <w:szCs w:val="24"/>
              </w:rPr>
              <w:t>Teachers Registration Board</w:t>
            </w:r>
          </w:p>
        </w:tc>
      </w:tr>
      <w:tr w:rsidR="00914533" w:rsidRPr="00DA1BA1" w:rsidTr="00A97B81">
        <w:trPr>
          <w:cantSplit/>
          <w:tblHeader/>
        </w:trPr>
        <w:tc>
          <w:tcPr>
            <w:tcW w:w="3261" w:type="dxa"/>
          </w:tcPr>
          <w:p w:rsidR="00914533" w:rsidRPr="000B5356" w:rsidRDefault="00914533" w:rsidP="00914533">
            <w:pPr>
              <w:pStyle w:val="Heading3"/>
              <w:spacing w:before="60" w:after="60"/>
              <w:jc w:val="right"/>
              <w:rPr>
                <w:color w:val="auto"/>
                <w:szCs w:val="24"/>
              </w:rPr>
            </w:pPr>
            <w:r w:rsidRPr="000B5356">
              <w:rPr>
                <w:color w:val="auto"/>
                <w:szCs w:val="24"/>
              </w:rPr>
              <w:t>Branch</w:t>
            </w:r>
          </w:p>
        </w:tc>
        <w:tc>
          <w:tcPr>
            <w:tcW w:w="6565" w:type="dxa"/>
          </w:tcPr>
          <w:p w:rsidR="00914533" w:rsidRPr="00DA1BA1" w:rsidRDefault="00914533" w:rsidP="00914533">
            <w:pPr>
              <w:spacing w:before="60" w:after="60"/>
              <w:rPr>
                <w:szCs w:val="24"/>
              </w:rPr>
            </w:pPr>
            <w:r>
              <w:rPr>
                <w:szCs w:val="24"/>
              </w:rPr>
              <w:t>N/A</w:t>
            </w:r>
          </w:p>
        </w:tc>
      </w:tr>
      <w:tr w:rsidR="00914533" w:rsidRPr="00DA1BA1" w:rsidTr="00A97B81">
        <w:trPr>
          <w:cantSplit/>
          <w:tblHeader/>
        </w:trPr>
        <w:tc>
          <w:tcPr>
            <w:tcW w:w="3261" w:type="dxa"/>
          </w:tcPr>
          <w:p w:rsidR="00914533" w:rsidRPr="000B5356" w:rsidRDefault="00914533" w:rsidP="00914533">
            <w:pPr>
              <w:pStyle w:val="Heading3"/>
              <w:spacing w:before="60" w:after="60"/>
              <w:jc w:val="right"/>
              <w:rPr>
                <w:color w:val="auto"/>
                <w:szCs w:val="24"/>
              </w:rPr>
            </w:pPr>
            <w:r w:rsidRPr="000B5356">
              <w:rPr>
                <w:color w:val="auto"/>
                <w:szCs w:val="24"/>
              </w:rPr>
              <w:t>Section</w:t>
            </w:r>
          </w:p>
        </w:tc>
        <w:tc>
          <w:tcPr>
            <w:tcW w:w="6565" w:type="dxa"/>
          </w:tcPr>
          <w:p w:rsidR="00914533" w:rsidRPr="00DA1BA1" w:rsidRDefault="00914533" w:rsidP="00914533">
            <w:pPr>
              <w:spacing w:before="60" w:after="60"/>
              <w:rPr>
                <w:szCs w:val="24"/>
              </w:rPr>
            </w:pPr>
            <w:r>
              <w:rPr>
                <w:szCs w:val="24"/>
              </w:rPr>
              <w:t>N/A</w:t>
            </w:r>
          </w:p>
        </w:tc>
      </w:tr>
      <w:tr w:rsidR="00914533" w:rsidRPr="00DA1BA1" w:rsidTr="00A97B81">
        <w:trPr>
          <w:cantSplit/>
          <w:tblHeader/>
        </w:trPr>
        <w:tc>
          <w:tcPr>
            <w:tcW w:w="3261" w:type="dxa"/>
          </w:tcPr>
          <w:p w:rsidR="00914533" w:rsidRPr="000B5356" w:rsidRDefault="00914533" w:rsidP="00914533">
            <w:pPr>
              <w:pStyle w:val="Heading3"/>
              <w:spacing w:before="60" w:after="60"/>
              <w:jc w:val="right"/>
              <w:rPr>
                <w:color w:val="auto"/>
                <w:szCs w:val="24"/>
              </w:rPr>
            </w:pPr>
            <w:r w:rsidRPr="000B5356">
              <w:rPr>
                <w:color w:val="auto"/>
                <w:szCs w:val="24"/>
              </w:rPr>
              <w:t>Sub-Section/Unit/School</w:t>
            </w:r>
          </w:p>
        </w:tc>
        <w:tc>
          <w:tcPr>
            <w:tcW w:w="6565" w:type="dxa"/>
          </w:tcPr>
          <w:p w:rsidR="00914533" w:rsidRPr="00DA1BA1" w:rsidRDefault="00914533" w:rsidP="00914533">
            <w:pPr>
              <w:spacing w:before="60" w:after="60"/>
              <w:rPr>
                <w:szCs w:val="24"/>
              </w:rPr>
            </w:pPr>
            <w:r>
              <w:rPr>
                <w:szCs w:val="24"/>
              </w:rPr>
              <w:t>N/A</w:t>
            </w:r>
          </w:p>
        </w:tc>
      </w:tr>
      <w:tr w:rsidR="00914533" w:rsidRPr="00DA1BA1" w:rsidTr="00A97B81">
        <w:trPr>
          <w:cantSplit/>
          <w:tblHeader/>
        </w:trPr>
        <w:tc>
          <w:tcPr>
            <w:tcW w:w="3261" w:type="dxa"/>
          </w:tcPr>
          <w:p w:rsidR="00914533" w:rsidRPr="000B5356" w:rsidRDefault="00914533" w:rsidP="00914533">
            <w:pPr>
              <w:spacing w:before="60" w:after="60"/>
              <w:jc w:val="right"/>
              <w:rPr>
                <w:b/>
              </w:rPr>
            </w:pPr>
            <w:r w:rsidRPr="000B5356">
              <w:rPr>
                <w:b/>
              </w:rPr>
              <w:t>Supervisor</w:t>
            </w:r>
          </w:p>
        </w:tc>
        <w:tc>
          <w:tcPr>
            <w:tcW w:w="6565" w:type="dxa"/>
          </w:tcPr>
          <w:p w:rsidR="00914533" w:rsidRPr="00DA1BA1" w:rsidRDefault="00914533" w:rsidP="00914533">
            <w:pPr>
              <w:spacing w:before="60" w:after="60"/>
              <w:rPr>
                <w:szCs w:val="24"/>
              </w:rPr>
            </w:pPr>
            <w:r>
              <w:rPr>
                <w:szCs w:val="24"/>
              </w:rPr>
              <w:t>Registrar</w:t>
            </w:r>
          </w:p>
        </w:tc>
      </w:tr>
      <w:tr w:rsidR="00186DA5" w:rsidRPr="00DA1BA1" w:rsidTr="00A97B81">
        <w:trPr>
          <w:cantSplit/>
          <w:tblHeader/>
        </w:trPr>
        <w:tc>
          <w:tcPr>
            <w:tcW w:w="3261" w:type="dxa"/>
          </w:tcPr>
          <w:p w:rsidR="00186DA5" w:rsidRPr="000B5356" w:rsidRDefault="00186DA5" w:rsidP="001215F1">
            <w:pPr>
              <w:spacing w:before="60" w:after="60"/>
              <w:jc w:val="right"/>
              <w:rPr>
                <w:b/>
              </w:rPr>
            </w:pPr>
            <w:r w:rsidRPr="000B5356">
              <w:rPr>
                <w:b/>
              </w:rPr>
              <w:t>Award/Agreement</w:t>
            </w:r>
          </w:p>
        </w:tc>
        <w:tc>
          <w:tcPr>
            <w:tcW w:w="6565" w:type="dxa"/>
          </w:tcPr>
          <w:p w:rsidR="003064AF" w:rsidRPr="00DA1BA1" w:rsidRDefault="000075E4" w:rsidP="00914533">
            <w:pPr>
              <w:spacing w:before="60" w:after="60"/>
              <w:rPr>
                <w:szCs w:val="24"/>
              </w:rPr>
            </w:pPr>
            <w:r>
              <w:rPr>
                <w:szCs w:val="24"/>
              </w:rPr>
              <w:t>Tasmanian</w:t>
            </w:r>
            <w:r w:rsidR="00FC6C06">
              <w:rPr>
                <w:szCs w:val="24"/>
              </w:rPr>
              <w:t xml:space="preserve"> State Service Award</w:t>
            </w:r>
          </w:p>
        </w:tc>
      </w:tr>
      <w:tr w:rsidR="00186DA5" w:rsidRPr="00DA1BA1" w:rsidTr="00A97B81">
        <w:trPr>
          <w:cantSplit/>
          <w:tblHeader/>
        </w:trPr>
        <w:tc>
          <w:tcPr>
            <w:tcW w:w="3261" w:type="dxa"/>
          </w:tcPr>
          <w:p w:rsidR="00186DA5" w:rsidRPr="000B5356" w:rsidRDefault="00186DA5" w:rsidP="001215F1">
            <w:pPr>
              <w:spacing w:before="60" w:after="60"/>
              <w:jc w:val="right"/>
              <w:rPr>
                <w:b/>
              </w:rPr>
            </w:pPr>
            <w:r w:rsidRPr="000B5356">
              <w:rPr>
                <w:b/>
              </w:rPr>
              <w:t>Classification</w:t>
            </w:r>
          </w:p>
        </w:tc>
        <w:tc>
          <w:tcPr>
            <w:tcW w:w="6565" w:type="dxa"/>
          </w:tcPr>
          <w:p w:rsidR="00FC6C06" w:rsidRPr="00DA1BA1" w:rsidRDefault="00FC6C06" w:rsidP="00914533">
            <w:pPr>
              <w:spacing w:before="60" w:after="60"/>
              <w:rPr>
                <w:szCs w:val="24"/>
              </w:rPr>
            </w:pPr>
            <w:r>
              <w:rPr>
                <w:szCs w:val="24"/>
              </w:rPr>
              <w:t xml:space="preserve">General Stream Band </w:t>
            </w:r>
            <w:r w:rsidR="00914533">
              <w:rPr>
                <w:szCs w:val="24"/>
              </w:rPr>
              <w:t>6</w:t>
            </w:r>
          </w:p>
        </w:tc>
      </w:tr>
      <w:tr w:rsidR="00186DA5" w:rsidRPr="00DA1BA1" w:rsidTr="00A97B81">
        <w:trPr>
          <w:cantSplit/>
          <w:tblHeader/>
        </w:trPr>
        <w:tc>
          <w:tcPr>
            <w:tcW w:w="3261" w:type="dxa"/>
          </w:tcPr>
          <w:p w:rsidR="00186DA5" w:rsidRPr="00DA1BA1" w:rsidRDefault="00186DA5" w:rsidP="001215F1">
            <w:pPr>
              <w:spacing w:before="60" w:after="60"/>
              <w:jc w:val="right"/>
              <w:rPr>
                <w:b/>
              </w:rPr>
            </w:pPr>
            <w:r w:rsidRPr="00DA1BA1">
              <w:rPr>
                <w:b/>
              </w:rPr>
              <w:t>Employment Conditions</w:t>
            </w:r>
          </w:p>
        </w:tc>
        <w:tc>
          <w:tcPr>
            <w:tcW w:w="6565" w:type="dxa"/>
          </w:tcPr>
          <w:p w:rsidR="003A2483" w:rsidRPr="00DA1BA1" w:rsidRDefault="00E57665" w:rsidP="00914533">
            <w:pPr>
              <w:pStyle w:val="BodyText2"/>
              <w:spacing w:before="60" w:after="60"/>
              <w:rPr>
                <w:rFonts w:ascii="Gill Sans MT" w:hAnsi="Gill Sans MT"/>
                <w:sz w:val="24"/>
                <w:szCs w:val="24"/>
              </w:rPr>
            </w:pPr>
            <w:r w:rsidRPr="00DA1BA1">
              <w:rPr>
                <w:rFonts w:ascii="Gill Sans MT" w:hAnsi="Gill Sans MT"/>
                <w:bCs/>
                <w:sz w:val="24"/>
                <w:szCs w:val="24"/>
              </w:rPr>
              <w:t>Permanent</w:t>
            </w:r>
            <w:r w:rsidR="00FD5A58">
              <w:rPr>
                <w:rFonts w:ascii="Gill Sans MT" w:hAnsi="Gill Sans MT"/>
                <w:bCs/>
                <w:sz w:val="24"/>
                <w:szCs w:val="24"/>
              </w:rPr>
              <w:t xml:space="preserve"> or fixed term</w:t>
            </w:r>
            <w:r w:rsidRPr="00DA1BA1">
              <w:rPr>
                <w:rFonts w:ascii="Gill Sans MT" w:hAnsi="Gill Sans MT"/>
                <w:bCs/>
                <w:sz w:val="24"/>
                <w:szCs w:val="24"/>
              </w:rPr>
              <w:t xml:space="preserve">, full time, 73.5 hours per fortnight, 52 weeks per year including 4 weeks annual leave. </w:t>
            </w:r>
          </w:p>
        </w:tc>
      </w:tr>
      <w:tr w:rsidR="00186DA5" w:rsidRPr="00DA1BA1" w:rsidTr="00A97B81">
        <w:trPr>
          <w:cantSplit/>
          <w:trHeight w:val="194"/>
          <w:tblHeader/>
        </w:trPr>
        <w:tc>
          <w:tcPr>
            <w:tcW w:w="3261" w:type="dxa"/>
          </w:tcPr>
          <w:p w:rsidR="00186DA5" w:rsidRPr="00DA1BA1" w:rsidRDefault="00186DA5" w:rsidP="001215F1">
            <w:pPr>
              <w:spacing w:before="60" w:after="60"/>
              <w:jc w:val="right"/>
              <w:rPr>
                <w:b/>
                <w:bCs/>
              </w:rPr>
            </w:pPr>
            <w:r w:rsidRPr="00DA1BA1">
              <w:rPr>
                <w:b/>
              </w:rPr>
              <w:t>Location</w:t>
            </w:r>
          </w:p>
        </w:tc>
        <w:tc>
          <w:tcPr>
            <w:tcW w:w="6565" w:type="dxa"/>
          </w:tcPr>
          <w:p w:rsidR="00FC6C06" w:rsidRPr="00DA1BA1" w:rsidRDefault="00FC6C06" w:rsidP="003064AF">
            <w:pPr>
              <w:spacing w:before="60" w:after="60"/>
              <w:rPr>
                <w:szCs w:val="24"/>
              </w:rPr>
            </w:pPr>
            <w:r>
              <w:rPr>
                <w:szCs w:val="24"/>
              </w:rPr>
              <w:t>South</w:t>
            </w:r>
          </w:p>
        </w:tc>
      </w:tr>
    </w:tbl>
    <w:p w:rsidR="00186DA5" w:rsidRPr="00DA1BA1" w:rsidRDefault="00186DA5" w:rsidP="00A97B81">
      <w:pPr>
        <w:pStyle w:val="Heading2"/>
      </w:pPr>
      <w:r w:rsidRPr="00DA1BA1">
        <w:t>The Role</w:t>
      </w:r>
    </w:p>
    <w:p w:rsidR="00914533" w:rsidRPr="0090662A" w:rsidRDefault="00914533" w:rsidP="00914533">
      <w:r>
        <w:rPr>
          <w:rFonts w:cs="Arial"/>
          <w:szCs w:val="24"/>
        </w:rPr>
        <w:t>C</w:t>
      </w:r>
      <w:r w:rsidRPr="0090662A">
        <w:rPr>
          <w:rFonts w:cs="Arial"/>
          <w:szCs w:val="24"/>
        </w:rPr>
        <w:t xml:space="preserve">ase manage </w:t>
      </w:r>
      <w:r w:rsidRPr="0090662A">
        <w:rPr>
          <w:szCs w:val="24"/>
        </w:rPr>
        <w:t>professional conduct matters</w:t>
      </w:r>
      <w:r>
        <w:rPr>
          <w:szCs w:val="24"/>
        </w:rPr>
        <w:t xml:space="preserve">, including </w:t>
      </w:r>
      <w:r w:rsidRPr="0090662A">
        <w:rPr>
          <w:szCs w:val="24"/>
        </w:rPr>
        <w:t xml:space="preserve"> notifications, complaints, inquiries, hearings and other process</w:t>
      </w:r>
      <w:r>
        <w:rPr>
          <w:szCs w:val="24"/>
        </w:rPr>
        <w:t>es</w:t>
      </w:r>
      <w:r w:rsidRPr="0090662A">
        <w:rPr>
          <w:szCs w:val="24"/>
        </w:rPr>
        <w:t xml:space="preserve"> relate</w:t>
      </w:r>
      <w:r>
        <w:rPr>
          <w:szCs w:val="24"/>
        </w:rPr>
        <w:t>d</w:t>
      </w:r>
      <w:r w:rsidRPr="0090662A">
        <w:rPr>
          <w:szCs w:val="24"/>
        </w:rPr>
        <w:t xml:space="preserve"> to the good character and fitness to teach of applicants and registrants</w:t>
      </w:r>
      <w:r>
        <w:rPr>
          <w:szCs w:val="24"/>
        </w:rPr>
        <w:t xml:space="preserve">, </w:t>
      </w:r>
      <w:r>
        <w:t xml:space="preserve">in </w:t>
      </w:r>
      <w:r w:rsidRPr="0090662A">
        <w:t>accord</w:t>
      </w:r>
      <w:r>
        <w:t>ance with</w:t>
      </w:r>
      <w:r w:rsidRPr="0090662A">
        <w:t xml:space="preserve"> legislation, relevant delegations and Board policy.</w:t>
      </w:r>
    </w:p>
    <w:p w:rsidR="005413CE" w:rsidRPr="00DA1BA1" w:rsidRDefault="00186DA5" w:rsidP="00A97B81">
      <w:pPr>
        <w:pStyle w:val="Heading3"/>
      </w:pPr>
      <w:r w:rsidRPr="00DA1BA1">
        <w:t>Level of Responsibility/ Direction and Supervision</w:t>
      </w:r>
    </w:p>
    <w:p w:rsidR="00914533" w:rsidRDefault="00914533" w:rsidP="00304E36">
      <w:pPr>
        <w:spacing w:after="120"/>
        <w:rPr>
          <w:rFonts w:cs="Arial"/>
          <w:szCs w:val="24"/>
        </w:rPr>
      </w:pPr>
      <w:r>
        <w:rPr>
          <w:rFonts w:cs="Arial"/>
          <w:szCs w:val="24"/>
        </w:rPr>
        <w:t>Responsible for the completion of investigation and conduct matters, including compliance with legal and administrative requirements. Expected to demonstrate initiative and exercise sound judgement.</w:t>
      </w:r>
    </w:p>
    <w:p w:rsidR="00914533" w:rsidRDefault="00914533" w:rsidP="00304E36">
      <w:pPr>
        <w:spacing w:after="120"/>
        <w:rPr>
          <w:szCs w:val="24"/>
        </w:rPr>
      </w:pPr>
      <w:r w:rsidRPr="00B52140">
        <w:rPr>
          <w:rFonts w:cs="Arial"/>
          <w:szCs w:val="24"/>
        </w:rPr>
        <w:t xml:space="preserve">The </w:t>
      </w:r>
      <w:r>
        <w:rPr>
          <w:rFonts w:cs="Arial"/>
          <w:szCs w:val="24"/>
        </w:rPr>
        <w:t>occupant</w:t>
      </w:r>
      <w:r w:rsidRPr="00B52140">
        <w:rPr>
          <w:rFonts w:cs="Arial"/>
          <w:szCs w:val="24"/>
        </w:rPr>
        <w:t xml:space="preserve"> will work within the framework of the Board’s plans, policies and operational procedures </w:t>
      </w:r>
      <w:r>
        <w:rPr>
          <w:rFonts w:cs="Arial"/>
          <w:szCs w:val="24"/>
        </w:rPr>
        <w:t xml:space="preserve">to implement registration processes and procedures and </w:t>
      </w:r>
      <w:r>
        <w:rPr>
          <w:szCs w:val="24"/>
        </w:rPr>
        <w:t>works closely with the various Board Committees that undertake work within the professional conduct area.</w:t>
      </w:r>
    </w:p>
    <w:p w:rsidR="00914533" w:rsidRDefault="00914533" w:rsidP="00304E36">
      <w:pPr>
        <w:spacing w:after="120"/>
        <w:rPr>
          <w:rFonts w:cs="Arial"/>
          <w:szCs w:val="24"/>
        </w:rPr>
      </w:pPr>
      <w:r>
        <w:rPr>
          <w:rFonts w:cs="Arial"/>
          <w:szCs w:val="24"/>
        </w:rPr>
        <w:t>The occupant</w:t>
      </w:r>
      <w:r w:rsidRPr="00B52140">
        <w:rPr>
          <w:rFonts w:cs="Arial"/>
          <w:szCs w:val="24"/>
        </w:rPr>
        <w:t xml:space="preserve"> will be expected to </w:t>
      </w:r>
      <w:r>
        <w:rPr>
          <w:rFonts w:cs="Arial"/>
          <w:szCs w:val="24"/>
        </w:rPr>
        <w:t>act independently on a day-to-day basis with general direction provided by the Registrar.</w:t>
      </w:r>
    </w:p>
    <w:p w:rsidR="00E046D4" w:rsidRDefault="00E046D4" w:rsidP="00304E36">
      <w:pPr>
        <w:spacing w:after="120"/>
      </w:pPr>
      <w:r>
        <w:t xml:space="preserve">The </w:t>
      </w:r>
      <w:r w:rsidR="000075E4">
        <w:t>department</w:t>
      </w:r>
      <w:r>
        <w:t xml:space="preserve">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rsidR="001371B5" w:rsidRDefault="00713C53" w:rsidP="00A97B81">
      <w:pPr>
        <w:pStyle w:val="Heading3"/>
      </w:pPr>
      <w:r>
        <w:lastRenderedPageBreak/>
        <w:t>Primary Duties</w:t>
      </w:r>
    </w:p>
    <w:p w:rsidR="00914533" w:rsidRDefault="00914533" w:rsidP="00914533">
      <w:pPr>
        <w:numPr>
          <w:ilvl w:val="0"/>
          <w:numId w:val="37"/>
        </w:numPr>
        <w:spacing w:after="120"/>
        <w:ind w:right="55"/>
        <w:jc w:val="both"/>
        <w:rPr>
          <w:szCs w:val="24"/>
        </w:rPr>
      </w:pPr>
      <w:r>
        <w:rPr>
          <w:szCs w:val="24"/>
        </w:rPr>
        <w:t>Manage matters (investigations, inquiries, hearings and other processes) that arise in relation to the professional conduct (i.e., good character and fitness to teach) of applicants and registrants.</w:t>
      </w:r>
    </w:p>
    <w:p w:rsidR="00914533" w:rsidRPr="00CD0FC1" w:rsidRDefault="00914533" w:rsidP="00914533">
      <w:pPr>
        <w:numPr>
          <w:ilvl w:val="0"/>
          <w:numId w:val="37"/>
        </w:numPr>
        <w:spacing w:after="120"/>
        <w:ind w:right="55"/>
        <w:jc w:val="both"/>
        <w:rPr>
          <w:rFonts w:cs="Arial"/>
          <w:szCs w:val="24"/>
        </w:rPr>
      </w:pPr>
      <w:r w:rsidRPr="00CD0FC1">
        <w:rPr>
          <w:szCs w:val="24"/>
        </w:rPr>
        <w:t xml:space="preserve">Conduct interviews with </w:t>
      </w:r>
      <w:r w:rsidRPr="00CD0FC1">
        <w:rPr>
          <w:rFonts w:cs="Arial"/>
          <w:szCs w:val="24"/>
        </w:rPr>
        <w:t>victims/witnesses/respondents</w:t>
      </w:r>
      <w:r w:rsidRPr="00CD0FC1">
        <w:rPr>
          <w:szCs w:val="24"/>
        </w:rPr>
        <w:t>, collect evidence and prepare matters for consideration by the Board.</w:t>
      </w:r>
    </w:p>
    <w:p w:rsidR="00914533" w:rsidRPr="002F491D" w:rsidRDefault="00914533" w:rsidP="00914533">
      <w:pPr>
        <w:numPr>
          <w:ilvl w:val="0"/>
          <w:numId w:val="37"/>
        </w:numPr>
        <w:spacing w:after="120"/>
        <w:ind w:right="55"/>
        <w:jc w:val="both"/>
        <w:rPr>
          <w:rFonts w:cs="Arial"/>
          <w:szCs w:val="24"/>
        </w:rPr>
      </w:pPr>
      <w:r w:rsidRPr="00CD0FC1">
        <w:rPr>
          <w:szCs w:val="24"/>
        </w:rPr>
        <w:t>Provide comprehensive factual assessments of evidence and</w:t>
      </w:r>
      <w:r>
        <w:rPr>
          <w:szCs w:val="24"/>
        </w:rPr>
        <w:t xml:space="preserve"> provide high level advice to staff, Committee Members and Board Members and make recommendations in accordance with </w:t>
      </w:r>
      <w:r>
        <w:t xml:space="preserve">legislation </w:t>
      </w:r>
      <w:r w:rsidRPr="0060350A">
        <w:t>and Board policy</w:t>
      </w:r>
      <w:r>
        <w:t>.</w:t>
      </w:r>
    </w:p>
    <w:p w:rsidR="00914533" w:rsidRDefault="00914533" w:rsidP="00914533">
      <w:pPr>
        <w:numPr>
          <w:ilvl w:val="0"/>
          <w:numId w:val="37"/>
        </w:numPr>
        <w:spacing w:after="120"/>
        <w:ind w:right="55"/>
        <w:jc w:val="both"/>
        <w:rPr>
          <w:szCs w:val="24"/>
        </w:rPr>
      </w:pPr>
      <w:r>
        <w:rPr>
          <w:szCs w:val="24"/>
        </w:rPr>
        <w:t>Contribute to the d</w:t>
      </w:r>
      <w:r w:rsidRPr="00FD046A">
        <w:rPr>
          <w:szCs w:val="24"/>
        </w:rPr>
        <w:t>evelop</w:t>
      </w:r>
      <w:r>
        <w:rPr>
          <w:szCs w:val="24"/>
        </w:rPr>
        <w:t>ment</w:t>
      </w:r>
      <w:r w:rsidRPr="00FD046A">
        <w:rPr>
          <w:szCs w:val="24"/>
        </w:rPr>
        <w:t xml:space="preserve">, </w:t>
      </w:r>
      <w:r w:rsidR="00304E36" w:rsidRPr="00FD046A">
        <w:rPr>
          <w:szCs w:val="24"/>
        </w:rPr>
        <w:t>implement</w:t>
      </w:r>
      <w:r w:rsidR="00304E36">
        <w:rPr>
          <w:szCs w:val="24"/>
        </w:rPr>
        <w:t>ation</w:t>
      </w:r>
      <w:r w:rsidRPr="00FD046A">
        <w:rPr>
          <w:szCs w:val="24"/>
        </w:rPr>
        <w:t xml:space="preserve"> and review </w:t>
      </w:r>
      <w:r>
        <w:rPr>
          <w:szCs w:val="24"/>
        </w:rPr>
        <w:t xml:space="preserve">of </w:t>
      </w:r>
      <w:r w:rsidRPr="00FD046A">
        <w:rPr>
          <w:szCs w:val="24"/>
        </w:rPr>
        <w:t xml:space="preserve">policies and practices that support the ongoing effectiveness and consistent handling and resolution of </w:t>
      </w:r>
      <w:r>
        <w:rPr>
          <w:szCs w:val="24"/>
        </w:rPr>
        <w:t>professional conduct</w:t>
      </w:r>
      <w:r w:rsidRPr="00FD046A">
        <w:rPr>
          <w:szCs w:val="24"/>
        </w:rPr>
        <w:t xml:space="preserve"> matters in </w:t>
      </w:r>
      <w:r>
        <w:rPr>
          <w:szCs w:val="24"/>
        </w:rPr>
        <w:t xml:space="preserve">accordance with </w:t>
      </w:r>
      <w:r w:rsidRPr="00FD046A">
        <w:rPr>
          <w:szCs w:val="24"/>
        </w:rPr>
        <w:t xml:space="preserve">the </w:t>
      </w:r>
      <w:r w:rsidRPr="00FD046A">
        <w:rPr>
          <w:i/>
          <w:szCs w:val="24"/>
        </w:rPr>
        <w:t>Teachers Registration Act 2000</w:t>
      </w:r>
      <w:r w:rsidRPr="00FD046A">
        <w:rPr>
          <w:szCs w:val="24"/>
        </w:rPr>
        <w:t xml:space="preserve"> and other relevant legislation.</w:t>
      </w:r>
    </w:p>
    <w:p w:rsidR="00914533" w:rsidRPr="00FD046A" w:rsidRDefault="00914533" w:rsidP="00914533">
      <w:pPr>
        <w:numPr>
          <w:ilvl w:val="0"/>
          <w:numId w:val="37"/>
        </w:numPr>
        <w:spacing w:after="120"/>
        <w:jc w:val="both"/>
        <w:rPr>
          <w:rFonts w:cs="Arial"/>
          <w:szCs w:val="24"/>
        </w:rPr>
      </w:pPr>
      <w:r>
        <w:rPr>
          <w:rFonts w:cs="Arial"/>
          <w:szCs w:val="24"/>
        </w:rPr>
        <w:t>Liaise</w:t>
      </w:r>
      <w:r w:rsidRPr="00FD046A">
        <w:rPr>
          <w:rFonts w:cs="Arial"/>
          <w:szCs w:val="24"/>
        </w:rPr>
        <w:t xml:space="preserve"> and </w:t>
      </w:r>
      <w:r>
        <w:rPr>
          <w:rFonts w:cs="Arial"/>
          <w:szCs w:val="24"/>
        </w:rPr>
        <w:t xml:space="preserve">build </w:t>
      </w:r>
      <w:r w:rsidR="00304E36">
        <w:rPr>
          <w:rFonts w:cs="Arial"/>
          <w:szCs w:val="24"/>
        </w:rPr>
        <w:t>ongoing</w:t>
      </w:r>
      <w:r w:rsidRPr="00FD046A">
        <w:rPr>
          <w:rFonts w:cs="Arial"/>
          <w:szCs w:val="24"/>
        </w:rPr>
        <w:t xml:space="preserve"> networks with relevant </w:t>
      </w:r>
      <w:r>
        <w:rPr>
          <w:rFonts w:cs="Arial"/>
          <w:szCs w:val="24"/>
        </w:rPr>
        <w:t>stakeholders</w:t>
      </w:r>
      <w:r w:rsidRPr="00FD046A">
        <w:rPr>
          <w:rFonts w:cs="Arial"/>
          <w:szCs w:val="24"/>
        </w:rPr>
        <w:t xml:space="preserve"> and individuals, including </w:t>
      </w:r>
      <w:r>
        <w:rPr>
          <w:rFonts w:cs="Arial"/>
          <w:szCs w:val="24"/>
        </w:rPr>
        <w:t xml:space="preserve">Tasmania Police, </w:t>
      </w:r>
      <w:r w:rsidRPr="00FD046A">
        <w:rPr>
          <w:rFonts w:cs="Arial"/>
          <w:szCs w:val="24"/>
        </w:rPr>
        <w:t>other jurisdictional regist</w:t>
      </w:r>
      <w:r>
        <w:rPr>
          <w:rFonts w:cs="Arial"/>
          <w:szCs w:val="24"/>
        </w:rPr>
        <w:t>ration/</w:t>
      </w:r>
      <w:r w:rsidRPr="00FD046A">
        <w:rPr>
          <w:rFonts w:cs="Arial"/>
          <w:szCs w:val="24"/>
        </w:rPr>
        <w:t xml:space="preserve">accreditation authorities, </w:t>
      </w:r>
      <w:r>
        <w:rPr>
          <w:rFonts w:cs="Arial"/>
          <w:szCs w:val="24"/>
        </w:rPr>
        <w:t>legal and union representatives, and employers</w:t>
      </w:r>
      <w:r w:rsidRPr="00FD046A">
        <w:rPr>
          <w:rFonts w:cs="Arial"/>
          <w:szCs w:val="24"/>
        </w:rPr>
        <w:t>.</w:t>
      </w:r>
    </w:p>
    <w:p w:rsidR="00151C10" w:rsidRDefault="00151C10" w:rsidP="008A5726">
      <w:pPr>
        <w:numPr>
          <w:ilvl w:val="0"/>
          <w:numId w:val="37"/>
        </w:numPr>
        <w:spacing w:after="120"/>
        <w:ind w:left="357" w:hanging="357"/>
      </w:pPr>
      <w:r>
        <w:t>Perform other duties as envisaged by the assigned classification under the relevant industrial award or agreement and in accordance with the skills, competency and training of the occupant.</w:t>
      </w:r>
    </w:p>
    <w:p w:rsidR="00186DA5" w:rsidRPr="00A97B81" w:rsidRDefault="00186DA5" w:rsidP="00A97B81">
      <w:pPr>
        <w:pStyle w:val="Heading2"/>
      </w:pPr>
      <w:r w:rsidRPr="00A97B81">
        <w:t>Selection Criteria</w:t>
      </w:r>
    </w:p>
    <w:p w:rsidR="00430D4D" w:rsidRPr="00DA1BA1" w:rsidRDefault="00250368" w:rsidP="00A97B81">
      <w:pPr>
        <w:spacing w:before="120" w:after="120"/>
      </w:pPr>
      <w:r w:rsidRPr="00DA1BA1">
        <w:t xml:space="preserve">Employment in the State Service is governed by the </w:t>
      </w:r>
      <w:r w:rsidRPr="00DA1BA1">
        <w:rPr>
          <w:i/>
          <w:iCs/>
        </w:rPr>
        <w:t>State Service Act 2000</w:t>
      </w:r>
      <w:r w:rsidRPr="00DA1BA1">
        <w:t xml:space="preserve"> and employment decisions must be based on merit. A decision relating to appointment or promotion is based on merit if:</w:t>
      </w:r>
    </w:p>
    <w:p w:rsidR="00250368" w:rsidRPr="00DA1BA1" w:rsidRDefault="00250368" w:rsidP="00A97B81">
      <w:pPr>
        <w:numPr>
          <w:ilvl w:val="0"/>
          <w:numId w:val="2"/>
        </w:numPr>
      </w:pPr>
      <w:r w:rsidRPr="00DA1BA1">
        <w:t>an assessment is made of the relative suitability of the candidates for the duties; and</w:t>
      </w:r>
    </w:p>
    <w:p w:rsidR="00250368" w:rsidRPr="00DA1BA1" w:rsidRDefault="00250368" w:rsidP="00A97B81">
      <w:pPr>
        <w:numPr>
          <w:ilvl w:val="0"/>
          <w:numId w:val="2"/>
        </w:numPr>
      </w:pPr>
      <w:r w:rsidRPr="00DA1BA1">
        <w:t>the assessment is based on the relationship between the candidates’ work-related qualities and the work related qualities genuinely required for the performance of the duties; and</w:t>
      </w:r>
    </w:p>
    <w:p w:rsidR="00250368" w:rsidRPr="00DA1BA1" w:rsidRDefault="00250368" w:rsidP="00A97B81">
      <w:pPr>
        <w:numPr>
          <w:ilvl w:val="0"/>
          <w:numId w:val="2"/>
        </w:numPr>
      </w:pPr>
      <w:r w:rsidRPr="00DA1BA1">
        <w:t>the assessment focuses on the relative capacity of the candidates to achieve outcomes related to the duties; and</w:t>
      </w:r>
    </w:p>
    <w:p w:rsidR="00430D4D" w:rsidRPr="00DA1BA1" w:rsidRDefault="00250368" w:rsidP="00A97B81">
      <w:pPr>
        <w:numPr>
          <w:ilvl w:val="0"/>
          <w:numId w:val="2"/>
        </w:numPr>
      </w:pPr>
      <w:r w:rsidRPr="00DA1BA1">
        <w:t>the assessment is the primary consideration in making the decision.</w:t>
      </w:r>
    </w:p>
    <w:p w:rsidR="00430D4D" w:rsidRPr="00DA1BA1" w:rsidRDefault="00250368" w:rsidP="00A97B81">
      <w:pPr>
        <w:spacing w:before="120" w:after="120"/>
      </w:pPr>
      <w:r w:rsidRPr="00DA1BA1">
        <w:t>Work-related qualities might include; skills and abilities; qualifications, training and competencies; standard of work performance; capacity to produce required outcomes; relevant personal qualities; and demonstrated potential for future development.</w:t>
      </w:r>
    </w:p>
    <w:p w:rsidR="00E57665" w:rsidRDefault="00250368" w:rsidP="00A97B81">
      <w:pPr>
        <w:spacing w:before="120" w:after="120"/>
      </w:pPr>
      <w:r w:rsidRPr="00DA1BA1">
        <w:t>The following specific selection criteria must be addressed by candidates in this context. The nominated position objective and duties contained in this statement of duties must also be used to assist in the interpretation of these selection criteria.</w:t>
      </w:r>
    </w:p>
    <w:p w:rsidR="00914533" w:rsidRPr="00771923" w:rsidRDefault="00914533" w:rsidP="00914533">
      <w:pPr>
        <w:numPr>
          <w:ilvl w:val="0"/>
          <w:numId w:val="44"/>
        </w:numPr>
        <w:tabs>
          <w:tab w:val="clear" w:pos="720"/>
          <w:tab w:val="num" w:pos="360"/>
          <w:tab w:val="left" w:pos="576"/>
        </w:tabs>
        <w:spacing w:after="120"/>
        <w:ind w:left="357" w:hanging="357"/>
        <w:jc w:val="both"/>
        <w:rPr>
          <w:rFonts w:cs="Arial"/>
          <w:color w:val="000000"/>
          <w:szCs w:val="24"/>
        </w:rPr>
      </w:pPr>
      <w:r>
        <w:rPr>
          <w:szCs w:val="24"/>
        </w:rPr>
        <w:t>E</w:t>
      </w:r>
      <w:r w:rsidRPr="00771923">
        <w:rPr>
          <w:szCs w:val="24"/>
        </w:rPr>
        <w:t xml:space="preserve">xperience in the </w:t>
      </w:r>
      <w:r>
        <w:rPr>
          <w:szCs w:val="24"/>
        </w:rPr>
        <w:t>conduct</w:t>
      </w:r>
      <w:r w:rsidRPr="00771923">
        <w:rPr>
          <w:szCs w:val="24"/>
        </w:rPr>
        <w:t xml:space="preserve"> of investigations, inquiries, hearings and other processes that arise in relation to professional conduct matters and in the management of issues in the area of administrative law. </w:t>
      </w:r>
    </w:p>
    <w:p w:rsidR="00914533" w:rsidRPr="00771923" w:rsidRDefault="00914533" w:rsidP="00914533">
      <w:pPr>
        <w:numPr>
          <w:ilvl w:val="0"/>
          <w:numId w:val="44"/>
        </w:numPr>
        <w:tabs>
          <w:tab w:val="clear" w:pos="720"/>
          <w:tab w:val="num" w:pos="360"/>
          <w:tab w:val="left" w:pos="576"/>
        </w:tabs>
        <w:spacing w:after="120"/>
        <w:ind w:left="357" w:hanging="357"/>
        <w:jc w:val="both"/>
        <w:rPr>
          <w:rFonts w:cs="Arial"/>
          <w:color w:val="000000"/>
          <w:szCs w:val="24"/>
        </w:rPr>
      </w:pPr>
      <w:r w:rsidRPr="00771923">
        <w:rPr>
          <w:szCs w:val="24"/>
        </w:rPr>
        <w:t xml:space="preserve">Demonstrated high level strategic, conceptual, analytical skills, including the ability </w:t>
      </w:r>
      <w:r w:rsidRPr="00771923">
        <w:rPr>
          <w:rFonts w:cs="Arial"/>
          <w:color w:val="000000"/>
          <w:szCs w:val="24"/>
        </w:rPr>
        <w:t xml:space="preserve">to collect and analyse evidence and information, to distil the core issues from complex situations, present logical </w:t>
      </w:r>
      <w:r>
        <w:rPr>
          <w:rFonts w:cs="Arial"/>
          <w:color w:val="000000"/>
          <w:szCs w:val="24"/>
        </w:rPr>
        <w:t xml:space="preserve">succinct </w:t>
      </w:r>
      <w:r w:rsidRPr="00771923">
        <w:rPr>
          <w:rFonts w:cs="Arial"/>
          <w:color w:val="000000"/>
          <w:szCs w:val="24"/>
        </w:rPr>
        <w:t xml:space="preserve">arguments and make sound </w:t>
      </w:r>
      <w:r w:rsidR="00304E36" w:rsidRPr="00771923">
        <w:rPr>
          <w:rFonts w:cs="Arial"/>
          <w:color w:val="000000"/>
          <w:szCs w:val="24"/>
        </w:rPr>
        <w:t>re</w:t>
      </w:r>
      <w:r w:rsidR="00304E36">
        <w:rPr>
          <w:rFonts w:cs="Arial"/>
          <w:color w:val="000000"/>
          <w:szCs w:val="24"/>
        </w:rPr>
        <w:t>c</w:t>
      </w:r>
      <w:r w:rsidR="00304E36" w:rsidRPr="00771923">
        <w:rPr>
          <w:rFonts w:cs="Arial"/>
          <w:color w:val="000000"/>
          <w:szCs w:val="24"/>
        </w:rPr>
        <w:t>ommendations</w:t>
      </w:r>
      <w:r w:rsidRPr="00771923">
        <w:rPr>
          <w:rFonts w:cs="Arial"/>
          <w:color w:val="000000"/>
          <w:szCs w:val="24"/>
        </w:rPr>
        <w:t xml:space="preserve"> in accordance with legislative frameworks.</w:t>
      </w:r>
    </w:p>
    <w:p w:rsidR="00914533" w:rsidRPr="00771923" w:rsidRDefault="00914533" w:rsidP="00914533">
      <w:pPr>
        <w:numPr>
          <w:ilvl w:val="0"/>
          <w:numId w:val="44"/>
        </w:numPr>
        <w:tabs>
          <w:tab w:val="clear" w:pos="720"/>
          <w:tab w:val="num" w:pos="360"/>
          <w:tab w:val="left" w:pos="576"/>
        </w:tabs>
        <w:spacing w:after="120"/>
        <w:ind w:left="357" w:hanging="357"/>
        <w:jc w:val="both"/>
        <w:rPr>
          <w:rFonts w:cs="Arial"/>
          <w:color w:val="000000"/>
          <w:szCs w:val="24"/>
        </w:rPr>
      </w:pPr>
      <w:r w:rsidRPr="00771923">
        <w:rPr>
          <w:szCs w:val="24"/>
        </w:rPr>
        <w:t xml:space="preserve">Demonstrated high level interpersonal and conflict resolution skills including an ability to conduct interviews with </w:t>
      </w:r>
      <w:r w:rsidRPr="00771923">
        <w:rPr>
          <w:rFonts w:cs="Arial"/>
          <w:szCs w:val="24"/>
        </w:rPr>
        <w:t>victims/witnesses/respondents</w:t>
      </w:r>
      <w:r w:rsidRPr="00771923">
        <w:rPr>
          <w:szCs w:val="24"/>
        </w:rPr>
        <w:t xml:space="preserve">, and negotiate complex and sensitive matters effectively with a range of stakeholders </w:t>
      </w:r>
      <w:r w:rsidRPr="00771923">
        <w:rPr>
          <w:rFonts w:cs="Arial"/>
          <w:szCs w:val="24"/>
        </w:rPr>
        <w:t>whilst ensuring procedural fairness.</w:t>
      </w:r>
    </w:p>
    <w:p w:rsidR="00914533" w:rsidRDefault="00914533" w:rsidP="00914533">
      <w:pPr>
        <w:numPr>
          <w:ilvl w:val="0"/>
          <w:numId w:val="44"/>
        </w:numPr>
        <w:tabs>
          <w:tab w:val="clear" w:pos="720"/>
          <w:tab w:val="num" w:pos="360"/>
          <w:tab w:val="left" w:pos="576"/>
        </w:tabs>
        <w:spacing w:after="120"/>
        <w:ind w:left="360"/>
        <w:jc w:val="both"/>
        <w:rPr>
          <w:rFonts w:cs="Arial"/>
          <w:color w:val="000000"/>
          <w:szCs w:val="24"/>
        </w:rPr>
      </w:pPr>
      <w:r w:rsidRPr="00771923">
        <w:rPr>
          <w:szCs w:val="24"/>
        </w:rPr>
        <w:t>Demonstrated high level</w:t>
      </w:r>
      <w:r w:rsidRPr="00771923">
        <w:rPr>
          <w:rFonts w:cs="Arial"/>
          <w:szCs w:val="24"/>
        </w:rPr>
        <w:t xml:space="preserve"> communication skills, </w:t>
      </w:r>
      <w:r>
        <w:rPr>
          <w:rFonts w:cs="Arial"/>
          <w:szCs w:val="24"/>
        </w:rPr>
        <w:t xml:space="preserve">both oral and written, </w:t>
      </w:r>
      <w:r w:rsidRPr="00771923">
        <w:rPr>
          <w:rFonts w:cs="Arial"/>
          <w:szCs w:val="24"/>
        </w:rPr>
        <w:t xml:space="preserve">including a capacity </w:t>
      </w:r>
      <w:r w:rsidRPr="00771923">
        <w:rPr>
          <w:szCs w:val="24"/>
        </w:rPr>
        <w:t>to prepare structured formal written documentation, conveying complex information, advice and recommendations in a clear and concise manner.</w:t>
      </w:r>
    </w:p>
    <w:p w:rsidR="00914533" w:rsidRPr="007A7B09" w:rsidRDefault="00914533" w:rsidP="00914533">
      <w:pPr>
        <w:numPr>
          <w:ilvl w:val="0"/>
          <w:numId w:val="44"/>
        </w:numPr>
        <w:tabs>
          <w:tab w:val="clear" w:pos="720"/>
          <w:tab w:val="num" w:pos="360"/>
          <w:tab w:val="left" w:pos="576"/>
        </w:tabs>
        <w:spacing w:after="120"/>
        <w:ind w:left="360"/>
        <w:jc w:val="both"/>
        <w:rPr>
          <w:rFonts w:cs="Arial"/>
          <w:color w:val="000000"/>
          <w:szCs w:val="24"/>
        </w:rPr>
      </w:pPr>
      <w:r w:rsidRPr="007A7B09">
        <w:rPr>
          <w:szCs w:val="24"/>
        </w:rPr>
        <w:lastRenderedPageBreak/>
        <w:t>Demonstrated capacity to contribute to team outcomes and to plan, co-ordinate, monitor and work</w:t>
      </w:r>
      <w:r>
        <w:rPr>
          <w:szCs w:val="24"/>
        </w:rPr>
        <w:t xml:space="preserve"> independently</w:t>
      </w:r>
      <w:r w:rsidRPr="007A7B09">
        <w:rPr>
          <w:szCs w:val="24"/>
        </w:rPr>
        <w:t xml:space="preserve">, </w:t>
      </w:r>
      <w:r w:rsidRPr="007A7B09">
        <w:rPr>
          <w:rFonts w:cs="Arial"/>
          <w:szCs w:val="24"/>
          <w:lang w:val="en-GB" w:eastAsia="en-AU"/>
        </w:rPr>
        <w:t xml:space="preserve">to work under pressure and </w:t>
      </w:r>
      <w:r>
        <w:rPr>
          <w:rFonts w:cs="Arial"/>
          <w:szCs w:val="24"/>
          <w:lang w:val="en-GB" w:eastAsia="en-AU"/>
        </w:rPr>
        <w:t>to achieve</w:t>
      </w:r>
      <w:r w:rsidRPr="007A7B09">
        <w:rPr>
          <w:rFonts w:cs="Arial"/>
          <w:szCs w:val="24"/>
          <w:lang w:val="en-GB" w:eastAsia="en-AU"/>
        </w:rPr>
        <w:t xml:space="preserve"> deadlines</w:t>
      </w:r>
      <w:r w:rsidRPr="007A7B09">
        <w:rPr>
          <w:szCs w:val="24"/>
        </w:rPr>
        <w:t xml:space="preserve"> </w:t>
      </w:r>
      <w:r w:rsidRPr="007A7B09">
        <w:rPr>
          <w:rFonts w:cs="Arial"/>
          <w:szCs w:val="24"/>
          <w:lang w:val="en-GB" w:eastAsia="en-AU"/>
        </w:rPr>
        <w:t>while maintaining quality work and attention to detail.</w:t>
      </w:r>
    </w:p>
    <w:p w:rsidR="00914533" w:rsidRPr="00771923" w:rsidRDefault="00914533" w:rsidP="00914533">
      <w:pPr>
        <w:numPr>
          <w:ilvl w:val="0"/>
          <w:numId w:val="44"/>
        </w:numPr>
        <w:tabs>
          <w:tab w:val="clear" w:pos="720"/>
          <w:tab w:val="num" w:pos="360"/>
          <w:tab w:val="left" w:pos="576"/>
        </w:tabs>
        <w:spacing w:after="120"/>
        <w:ind w:left="360"/>
        <w:jc w:val="both"/>
        <w:rPr>
          <w:rFonts w:cs="Arial"/>
          <w:color w:val="000000"/>
          <w:szCs w:val="24"/>
        </w:rPr>
      </w:pPr>
      <w:r w:rsidRPr="00771923">
        <w:rPr>
          <w:szCs w:val="24"/>
        </w:rPr>
        <w:t xml:space="preserve">A sound knowledge, or the ability to quickly acquire knowledge, to interpret the </w:t>
      </w:r>
      <w:r w:rsidRPr="00771923">
        <w:rPr>
          <w:i/>
          <w:szCs w:val="24"/>
        </w:rPr>
        <w:t>Teachers Registration Act 2000,</w:t>
      </w:r>
      <w:r w:rsidRPr="00771923">
        <w:rPr>
          <w:szCs w:val="24"/>
        </w:rPr>
        <w:t xml:space="preserve"> other relevant legislation to inform the management of professional conduct matters. </w:t>
      </w:r>
    </w:p>
    <w:p w:rsidR="00186DA5" w:rsidRPr="00DA1BA1" w:rsidRDefault="00186DA5" w:rsidP="00A97B81">
      <w:pPr>
        <w:pStyle w:val="Heading2"/>
      </w:pPr>
      <w:r w:rsidRPr="00DA1BA1">
        <w:t>Requirements</w:t>
      </w:r>
    </w:p>
    <w:tbl>
      <w:tblPr>
        <w:tblW w:w="9826" w:type="dxa"/>
        <w:tblInd w:w="108" w:type="dxa"/>
        <w:tblLayout w:type="fixed"/>
        <w:tblLook w:val="0000" w:firstRow="0" w:lastRow="0" w:firstColumn="0" w:lastColumn="0" w:noHBand="0" w:noVBand="0"/>
      </w:tblPr>
      <w:tblGrid>
        <w:gridCol w:w="1496"/>
        <w:gridCol w:w="8330"/>
      </w:tblGrid>
      <w:tr w:rsidR="00186DA5" w:rsidRPr="00DA1BA1" w:rsidTr="00A97B81">
        <w:trPr>
          <w:cantSplit/>
          <w:tblHeader/>
        </w:trPr>
        <w:tc>
          <w:tcPr>
            <w:tcW w:w="1496" w:type="dxa"/>
          </w:tcPr>
          <w:p w:rsidR="00186DA5" w:rsidRPr="00DA1BA1" w:rsidRDefault="00186DA5" w:rsidP="008A5726">
            <w:pPr>
              <w:spacing w:before="60" w:after="60"/>
              <w:rPr>
                <w:b/>
              </w:rPr>
            </w:pPr>
            <w:r w:rsidRPr="00DA1BA1">
              <w:rPr>
                <w:b/>
              </w:rPr>
              <w:t>Essential</w:t>
            </w:r>
          </w:p>
        </w:tc>
        <w:tc>
          <w:tcPr>
            <w:tcW w:w="8330" w:type="dxa"/>
          </w:tcPr>
          <w:p w:rsidR="003A2483" w:rsidRPr="003A2483" w:rsidRDefault="003A2483" w:rsidP="003A2483">
            <w:pPr>
              <w:numPr>
                <w:ilvl w:val="0"/>
                <w:numId w:val="42"/>
              </w:numPr>
              <w:spacing w:before="60" w:after="60"/>
              <w:rPr>
                <w:color w:val="ED7D31"/>
                <w:szCs w:val="24"/>
              </w:rPr>
            </w:pPr>
            <w:r w:rsidRPr="001B4D02">
              <w:rPr>
                <w:szCs w:val="24"/>
              </w:rPr>
              <w:t xml:space="preserve">The </w:t>
            </w:r>
            <w:r w:rsidRPr="005E0CDE">
              <w:rPr>
                <w:i/>
                <w:iCs/>
                <w:szCs w:val="24"/>
              </w:rPr>
              <w:t>Registration to Work with Vulnerable People Act 2013</w:t>
            </w:r>
            <w:r w:rsidRPr="00325DD9">
              <w:rPr>
                <w:i/>
                <w:iCs/>
                <w:szCs w:val="24"/>
              </w:rPr>
              <w:t xml:space="preserve"> </w:t>
            </w:r>
            <w:r w:rsidRPr="00325DD9">
              <w:rPr>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w:t>
            </w:r>
            <w:r>
              <w:rPr>
                <w:szCs w:val="24"/>
              </w:rPr>
              <w:t>t.</w:t>
            </w:r>
          </w:p>
          <w:p w:rsidR="003A2483" w:rsidRPr="003A2483" w:rsidRDefault="003A2483" w:rsidP="003A2483">
            <w:pPr>
              <w:pStyle w:val="ListParagraph"/>
              <w:numPr>
                <w:ilvl w:val="1"/>
                <w:numId w:val="42"/>
              </w:numPr>
              <w:tabs>
                <w:tab w:val="clear" w:pos="680"/>
              </w:tabs>
              <w:spacing w:after="0"/>
              <w:ind w:left="982"/>
              <w:rPr>
                <w:rFonts w:ascii="Gill Sans MT" w:hAnsi="Gill Sans MT" w:cs="Arial"/>
                <w:sz w:val="24"/>
                <w:szCs w:val="24"/>
              </w:rPr>
            </w:pPr>
            <w:r w:rsidRPr="00325DD9">
              <w:rPr>
                <w:rFonts w:ascii="Gill Sans MT" w:hAnsi="Gill Sans MT"/>
                <w:sz w:val="24"/>
                <w:szCs w:val="24"/>
              </w:rPr>
              <w:t>Current Tasmanian Registration to Work with Vulnerable People</w:t>
            </w:r>
            <w:r>
              <w:rPr>
                <w:rFonts w:ascii="Gill Sans MT" w:hAnsi="Gill Sans MT"/>
                <w:sz w:val="24"/>
                <w:szCs w:val="24"/>
              </w:rPr>
              <w:t xml:space="preserve"> </w:t>
            </w:r>
            <w:r w:rsidRPr="003A2483">
              <w:rPr>
                <w:rFonts w:ascii="Gill Sans MT" w:hAnsi="Gill Sans MT"/>
                <w:sz w:val="24"/>
                <w:szCs w:val="24"/>
              </w:rPr>
              <w:t>(Registration Status – Employment</w:t>
            </w:r>
            <w:r>
              <w:rPr>
                <w:rFonts w:ascii="Gill Sans MT" w:hAnsi="Gill Sans MT"/>
                <w:sz w:val="24"/>
                <w:szCs w:val="24"/>
              </w:rPr>
              <w:t>)</w:t>
            </w:r>
          </w:p>
          <w:p w:rsidR="007C18A0" w:rsidRPr="007C18A0" w:rsidRDefault="007C18A0" w:rsidP="00914533">
            <w:pPr>
              <w:pStyle w:val="ListParagraph"/>
              <w:spacing w:after="0"/>
              <w:ind w:left="0"/>
              <w:rPr>
                <w:rFonts w:ascii="Gill Sans MT" w:hAnsi="Gill Sans MT" w:cs="Arial"/>
                <w:sz w:val="24"/>
                <w:szCs w:val="24"/>
              </w:rPr>
            </w:pPr>
          </w:p>
        </w:tc>
      </w:tr>
      <w:tr w:rsidR="00186DA5" w:rsidRPr="00DA1BA1" w:rsidTr="00A97B81">
        <w:trPr>
          <w:cantSplit/>
          <w:tblHeader/>
        </w:trPr>
        <w:tc>
          <w:tcPr>
            <w:tcW w:w="1496" w:type="dxa"/>
          </w:tcPr>
          <w:p w:rsidR="00186DA5" w:rsidRPr="00DA1BA1" w:rsidRDefault="00186DA5" w:rsidP="008A5726">
            <w:pPr>
              <w:spacing w:before="60" w:after="60"/>
              <w:ind w:left="448" w:hanging="357"/>
              <w:rPr>
                <w:b/>
              </w:rPr>
            </w:pPr>
            <w:r w:rsidRPr="00DA1BA1">
              <w:rPr>
                <w:b/>
              </w:rPr>
              <w:t>Desirable</w:t>
            </w:r>
          </w:p>
        </w:tc>
        <w:tc>
          <w:tcPr>
            <w:tcW w:w="8330" w:type="dxa"/>
            <w:vAlign w:val="center"/>
          </w:tcPr>
          <w:p w:rsidR="00914533" w:rsidRDefault="00914533" w:rsidP="00914533">
            <w:pPr>
              <w:numPr>
                <w:ilvl w:val="0"/>
                <w:numId w:val="42"/>
              </w:numPr>
              <w:tabs>
                <w:tab w:val="num" w:pos="453"/>
              </w:tabs>
              <w:spacing w:before="60" w:after="60"/>
              <w:rPr>
                <w:szCs w:val="24"/>
              </w:rPr>
            </w:pPr>
            <w:r>
              <w:rPr>
                <w:szCs w:val="24"/>
              </w:rPr>
              <w:t>A law degree or an equivalent  tertiary qualification</w:t>
            </w:r>
          </w:p>
          <w:p w:rsidR="00186DA5" w:rsidRPr="00DA1BA1" w:rsidRDefault="00914533" w:rsidP="00914533">
            <w:pPr>
              <w:numPr>
                <w:ilvl w:val="0"/>
                <w:numId w:val="42"/>
              </w:numPr>
              <w:spacing w:before="60" w:after="60"/>
              <w:rPr>
                <w:szCs w:val="24"/>
              </w:rPr>
            </w:pPr>
            <w:r>
              <w:rPr>
                <w:rFonts w:cs="Arial"/>
                <w:szCs w:val="24"/>
              </w:rPr>
              <w:t xml:space="preserve">A </w:t>
            </w:r>
            <w:r w:rsidRPr="00B52140">
              <w:rPr>
                <w:rFonts w:cs="Arial"/>
                <w:szCs w:val="24"/>
              </w:rPr>
              <w:t>current driver’s licence</w:t>
            </w:r>
            <w:r>
              <w:t>.</w:t>
            </w:r>
          </w:p>
        </w:tc>
      </w:tr>
    </w:tbl>
    <w:p w:rsidR="00E05EE4" w:rsidRPr="00083236" w:rsidRDefault="00E05EE4" w:rsidP="001F1F90">
      <w:pPr>
        <w:pStyle w:val="Heading2"/>
      </w:pPr>
      <w:r>
        <w:t>Working within</w:t>
      </w:r>
      <w:r w:rsidRPr="00083236">
        <w:t xml:space="preserve"> the </w:t>
      </w:r>
      <w:r w:rsidRPr="005342D7">
        <w:t>Department</w:t>
      </w:r>
      <w:r w:rsidRPr="00083236">
        <w:t xml:space="preserve"> of Education</w:t>
      </w:r>
    </w:p>
    <w:p w:rsidR="006D0906" w:rsidRPr="00DC5557" w:rsidRDefault="006D0906" w:rsidP="008A5726">
      <w:pPr>
        <w:spacing w:after="120"/>
        <w:rPr>
          <w:b/>
        </w:rPr>
      </w:pPr>
      <w:r w:rsidRPr="00DC5557">
        <w:t>The Department is responsible for providing public education, vocational education and training, adult and community education, and library and archive services throughout Tasmania.</w:t>
      </w:r>
    </w:p>
    <w:p w:rsidR="009402EF" w:rsidRDefault="009402EF" w:rsidP="009402EF">
      <w:pPr>
        <w:pStyle w:val="NormalWeb"/>
        <w:spacing w:before="0" w:beforeAutospacing="0" w:after="120" w:afterAutospacing="0"/>
      </w:pPr>
      <w:r w:rsidRPr="005821B4">
        <w:t xml:space="preserve">Our strategic focus is centered on achieving the Tasmanian Government’s priorities for education, training and information services.  These priorities are expressed through the goals of the </w:t>
      </w:r>
      <w:r w:rsidRPr="005821B4">
        <w:rPr>
          <w:i/>
        </w:rPr>
        <w:t>Learners First: Every Learner, Every Day</w:t>
      </w:r>
      <w:r w:rsidRPr="005821B4">
        <w:t xml:space="preserve"> Strategic Plan, and the </w:t>
      </w:r>
      <w:r w:rsidR="002B7C3E">
        <w:t>Libraries</w:t>
      </w:r>
      <w:r w:rsidRPr="005821B4">
        <w:t xml:space="preserve"> Tasmania Strategy.</w:t>
      </w:r>
    </w:p>
    <w:p w:rsidR="009402EF" w:rsidRDefault="009402EF" w:rsidP="009402EF">
      <w:pPr>
        <w:pStyle w:val="NormalWeb"/>
        <w:tabs>
          <w:tab w:val="bar" w:pos="2268"/>
          <w:tab w:val="left" w:pos="2552"/>
        </w:tabs>
        <w:spacing w:before="120" w:beforeAutospacing="0" w:after="120" w:afterAutospacing="0"/>
        <w:ind w:left="2552" w:hanging="2552"/>
      </w:pPr>
      <w:r w:rsidRPr="00491520">
        <w:rPr>
          <w:b/>
        </w:rPr>
        <w:t>Our Commitment</w:t>
      </w:r>
      <w:r>
        <w:tab/>
      </w:r>
      <w:r w:rsidRPr="005821B4">
        <w:t>Together we inspire and support all learners to succeed as connected, resilient, creative and curious</w:t>
      </w:r>
      <w:r>
        <w:t xml:space="preserve"> thinkers.</w:t>
      </w:r>
    </w:p>
    <w:p w:rsidR="009402EF" w:rsidRDefault="009402EF" w:rsidP="009402EF">
      <w:pPr>
        <w:pStyle w:val="NormalWeb"/>
        <w:tabs>
          <w:tab w:val="bar" w:pos="2268"/>
          <w:tab w:val="left" w:pos="2552"/>
        </w:tabs>
        <w:spacing w:before="0" w:beforeAutospacing="0" w:after="120" w:afterAutospacing="0"/>
        <w:ind w:left="2268" w:hanging="2268"/>
      </w:pPr>
      <w:r w:rsidRPr="00491520">
        <w:rPr>
          <w:b/>
        </w:rPr>
        <w:t>Our Values</w:t>
      </w:r>
      <w:r w:rsidRPr="00491520">
        <w:rPr>
          <w:b/>
        </w:rPr>
        <w:tab/>
      </w:r>
      <w:r>
        <w:rPr>
          <w:b/>
        </w:rPr>
        <w:tab/>
      </w:r>
      <w:r w:rsidRPr="005821B4">
        <w:t>Aspiration, Respect, Courage and Growth</w:t>
      </w:r>
      <w:r>
        <w:t>.</w:t>
      </w:r>
    </w:p>
    <w:p w:rsidR="009402EF" w:rsidRPr="005821B4" w:rsidRDefault="009402EF" w:rsidP="009402EF">
      <w:pPr>
        <w:pStyle w:val="NormalWeb"/>
        <w:tabs>
          <w:tab w:val="bar" w:pos="2268"/>
          <w:tab w:val="left" w:pos="2552"/>
        </w:tabs>
        <w:spacing w:before="0" w:beforeAutospacing="0" w:after="120" w:afterAutospacing="0"/>
        <w:ind w:left="2552" w:hanging="2552"/>
      </w:pPr>
      <w:r w:rsidRPr="00491520">
        <w:rPr>
          <w:b/>
        </w:rPr>
        <w:t>Our Goals</w:t>
      </w:r>
      <w:r w:rsidRPr="00491520">
        <w:rPr>
          <w:b/>
        </w:rPr>
        <w:tab/>
      </w:r>
      <w:r w:rsidRPr="005821B4">
        <w:t>Access, Participation and Engagement; Early Learning; Wellbeing; Literacy and Numeracy</w:t>
      </w:r>
      <w:r>
        <w:t>.</w:t>
      </w:r>
    </w:p>
    <w:p w:rsidR="006D0906" w:rsidRDefault="009402EF" w:rsidP="009402EF">
      <w:pPr>
        <w:pStyle w:val="NormalWeb"/>
        <w:spacing w:before="120" w:beforeAutospacing="0" w:after="0" w:afterAutospacing="0"/>
      </w:pPr>
      <w:r w:rsidRPr="005821B4">
        <w:t xml:space="preserve">Our strategies aim to transform the way Tasmanians access education, training and information services, provide a fresh and exciting approach to lifelong learning and build an education system that </w:t>
      </w:r>
      <w:r w:rsidR="00703913">
        <w:t>inspires and supports all learners to succeed as connected, resilient, creative and curious thinkers.</w:t>
      </w:r>
    </w:p>
    <w:p w:rsidR="006D0906" w:rsidRDefault="006D0906" w:rsidP="00A97B81">
      <w:pPr>
        <w:pStyle w:val="Heading3"/>
      </w:pPr>
      <w:r>
        <w:t>Information and Records Management</w:t>
      </w:r>
    </w:p>
    <w:p w:rsidR="006D0906" w:rsidRDefault="006D0906" w:rsidP="008A5726">
      <w:r>
        <w:t>All employees are responsible and accountable to:</w:t>
      </w:r>
    </w:p>
    <w:p w:rsidR="006D0906" w:rsidRDefault="006D0906" w:rsidP="008A5726">
      <w:pPr>
        <w:pStyle w:val="NormalWeb"/>
        <w:numPr>
          <w:ilvl w:val="0"/>
          <w:numId w:val="28"/>
        </w:numPr>
        <w:spacing w:before="0" w:beforeAutospacing="0" w:after="0" w:afterAutospacing="0"/>
      </w:pPr>
      <w:r>
        <w:t>Create records according to the business needs and business processes of their business unit or school that adequately document the business activities in which they take part.</w:t>
      </w:r>
    </w:p>
    <w:p w:rsidR="006D0906" w:rsidRDefault="006D0906" w:rsidP="008A5726">
      <w:pPr>
        <w:pStyle w:val="NormalWeb"/>
        <w:numPr>
          <w:ilvl w:val="0"/>
          <w:numId w:val="28"/>
        </w:numPr>
        <w:spacing w:before="0" w:beforeAutospacing="0" w:after="0" w:afterAutospacing="0"/>
      </w:pPr>
      <w:r>
        <w:t xml:space="preserve">Register documents in an approved Business Information Management System. </w:t>
      </w:r>
    </w:p>
    <w:p w:rsidR="006D0906" w:rsidRDefault="006D0906" w:rsidP="008A5726">
      <w:pPr>
        <w:pStyle w:val="NormalWeb"/>
        <w:numPr>
          <w:ilvl w:val="0"/>
          <w:numId w:val="28"/>
        </w:numPr>
        <w:spacing w:before="0" w:beforeAutospacing="0" w:after="0" w:afterAutospacing="0"/>
      </w:pPr>
      <w:r>
        <w:t>Access information for legitimate work purposes only.</w:t>
      </w:r>
    </w:p>
    <w:p w:rsidR="006D0906" w:rsidRDefault="006D0906" w:rsidP="00A97B81">
      <w:pPr>
        <w:spacing w:before="120"/>
      </w:pPr>
      <w:r>
        <w:t>All employees must not:</w:t>
      </w:r>
    </w:p>
    <w:p w:rsidR="006D0906" w:rsidRDefault="006D0906" w:rsidP="008A5726">
      <w:pPr>
        <w:pStyle w:val="NormalWeb"/>
        <w:numPr>
          <w:ilvl w:val="0"/>
          <w:numId w:val="29"/>
        </w:numPr>
        <w:spacing w:before="0" w:beforeAutospacing="0" w:after="0" w:afterAutospacing="0"/>
      </w:pPr>
      <w:r>
        <w:t xml:space="preserve">Destroy delete or alter records without proper authority; or </w:t>
      </w:r>
    </w:p>
    <w:p w:rsidR="006D0906" w:rsidRDefault="006D0906" w:rsidP="008A5726">
      <w:pPr>
        <w:pStyle w:val="NormalWeb"/>
        <w:numPr>
          <w:ilvl w:val="0"/>
          <w:numId w:val="29"/>
        </w:numPr>
        <w:spacing w:before="0" w:beforeAutospacing="0" w:after="0" w:afterAutospacing="0"/>
      </w:pPr>
      <w:r>
        <w:t>Remove information, documents or records from the Department without permission.</w:t>
      </w:r>
    </w:p>
    <w:p w:rsidR="006D0906" w:rsidRDefault="006D0906" w:rsidP="00A97B81">
      <w:pPr>
        <w:pStyle w:val="Heading3"/>
      </w:pPr>
      <w:r w:rsidRPr="00CE3EAA">
        <w:lastRenderedPageBreak/>
        <w:t>State Service Principles and Code of Conduct</w:t>
      </w:r>
    </w:p>
    <w:p w:rsidR="006D0906" w:rsidRDefault="006D0906" w:rsidP="008A5726">
      <w:pPr>
        <w:spacing w:after="120"/>
      </w:pPr>
      <w:r>
        <w:rPr>
          <w:bCs/>
        </w:rPr>
        <w:t xml:space="preserve">Employment in the State Service is governed by the </w:t>
      </w:r>
      <w:r w:rsidRPr="001262A2">
        <w:rPr>
          <w:bCs/>
          <w:i/>
        </w:rPr>
        <w:t>State Service Act 2000</w:t>
      </w:r>
      <w:r>
        <w:rPr>
          <w:bCs/>
        </w:rPr>
        <w:t xml:space="preserve">. </w:t>
      </w:r>
      <w: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rsidR="006D0906" w:rsidRDefault="006D0906" w:rsidP="008A5726">
      <w:pPr>
        <w:spacing w:after="120"/>
      </w:pPr>
      <w:r>
        <w:t xml:space="preserve">The State Service Principles and Code of Conduct are contained in the </w:t>
      </w:r>
      <w:r>
        <w:rPr>
          <w:i/>
        </w:rPr>
        <w:t>State Service Act 2000</w:t>
      </w:r>
      <w:r>
        <w:t xml:space="preserve"> and can be found on the State Service Management Office website at </w:t>
      </w:r>
      <w:hyperlink r:id="rId12" w:history="1">
        <w:r w:rsidRPr="00A70607">
          <w:rPr>
            <w:rStyle w:val="Hyperlink"/>
          </w:rPr>
          <w:t>http://www.dpac.tas.gov.au/divisions/ssmo</w:t>
        </w:r>
      </w:hyperlink>
      <w:r>
        <w:t xml:space="preserve"> together with Employment Direction No. 2 </w:t>
      </w:r>
      <w:r>
        <w:rPr>
          <w:bCs/>
          <w:i/>
          <w:iCs/>
          <w:color w:val="FF0000"/>
        </w:rPr>
        <w:t>State Service Principles</w:t>
      </w:r>
      <w:r>
        <w:rPr>
          <w:bCs/>
          <w:i/>
          <w:iCs/>
        </w:rPr>
        <w:t xml:space="preserve">. </w:t>
      </w:r>
      <w:r>
        <w:t>All employees must read these and ensure they understand their responsibilities.</w:t>
      </w:r>
    </w:p>
    <w:p w:rsidR="006D0906" w:rsidRDefault="006D0906" w:rsidP="008A5726">
      <w:pPr>
        <w:spacing w:after="120"/>
      </w:pPr>
      <w:r>
        <w:t xml:space="preserve">All employees are expected to utilise information management systems in a responsible manner in line with the DoE Condition of Use policy statement located at </w:t>
      </w:r>
      <w:hyperlink r:id="rId13" w:history="1">
        <w:r>
          <w:rPr>
            <w:rStyle w:val="Hyperlink"/>
          </w:rPr>
          <w:t>Department of Education: Information technology policies</w:t>
        </w:r>
      </w:hyperlink>
    </w:p>
    <w:p w:rsidR="006D0906" w:rsidRPr="008C6DDC" w:rsidRDefault="006D0906" w:rsidP="00A97B81">
      <w:pPr>
        <w:pStyle w:val="Heading3"/>
      </w:pPr>
      <w:r w:rsidRPr="008C6DDC">
        <w:t>Work Health and Safety and Workplace Diversity</w:t>
      </w:r>
    </w:p>
    <w:p w:rsidR="006D0906" w:rsidRDefault="006D0906" w:rsidP="008A5726">
      <w:pPr>
        <w:spacing w:after="120"/>
      </w:pPr>
      <w:r>
        <w:t>The Department is committed to high standards of performance in respect of work health and safety and managing diversity.</w:t>
      </w:r>
      <w:r w:rsidR="00713C53">
        <w:t xml:space="preserve"> </w:t>
      </w:r>
      <w:r w:rsidR="00713C53" w:rsidRPr="00DC7124">
        <w:t>All employees are expected to promote and uphold the principles of fair and equitable access to employment/promotion, personal development and training and the elimination of workplace harassment and discrimination.</w:t>
      </w:r>
    </w:p>
    <w:p w:rsidR="00E05EE4" w:rsidRDefault="006D0906" w:rsidP="00B87680">
      <w:pPr>
        <w:spacing w:after="120"/>
      </w:pPr>
      <w:r>
        <w:t xml:space="preserve">In accordance with the </w:t>
      </w:r>
      <w:r w:rsidRPr="001262A2">
        <w:rPr>
          <w:i/>
        </w:rPr>
        <w:t>Work Health and Safety Act 2012</w:t>
      </w:r>
      <w: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rsidR="003327D1" w:rsidRDefault="003327D1" w:rsidP="003327D1">
      <w:pPr>
        <w:spacing w:after="120"/>
      </w:pPr>
      <w:r>
        <w:t xml:space="preserve">The Department </w:t>
      </w:r>
      <w:r w:rsidR="00B1001B">
        <w:t>of Education is committed to providing a safe workplace for all employees and has zero tolerance to all forms of violence.</w:t>
      </w:r>
    </w:p>
    <w:p w:rsidR="00E05EE4" w:rsidRDefault="00E05EE4" w:rsidP="00304E36">
      <w:pPr>
        <w:spacing w:after="240"/>
      </w:pPr>
      <w:r w:rsidRPr="00AD3639">
        <w:t>State Government workplaces and vehicles are non smoking environments.</w:t>
      </w:r>
    </w:p>
    <w:tbl>
      <w:tblPr>
        <w:tblStyle w:val="TableGrid"/>
        <w:tblW w:w="0" w:type="auto"/>
        <w:tblBorders>
          <w:left w:val="none" w:sz="0" w:space="0" w:color="auto"/>
          <w:right w:val="none" w:sz="0" w:space="0" w:color="auto"/>
        </w:tblBorders>
        <w:tblLook w:val="04A0" w:firstRow="1" w:lastRow="0" w:firstColumn="1" w:lastColumn="0" w:noHBand="0" w:noVBand="1"/>
        <w:tblCaption w:val="HR Office Use only"/>
        <w:tblDescription w:val="HR Office Use only"/>
      </w:tblPr>
      <w:tblGrid>
        <w:gridCol w:w="9968"/>
      </w:tblGrid>
      <w:tr w:rsidR="00A97B81" w:rsidTr="00065431">
        <w:trPr>
          <w:trHeight w:val="419"/>
          <w:tblHeader/>
        </w:trPr>
        <w:tc>
          <w:tcPr>
            <w:tcW w:w="9968" w:type="dxa"/>
          </w:tcPr>
          <w:p w:rsidR="00A97B81" w:rsidRPr="00F17D49" w:rsidRDefault="00A97B81" w:rsidP="00304E36">
            <w:pPr>
              <w:spacing w:before="240" w:after="240"/>
              <w:rPr>
                <w:color w:val="000000"/>
                <w:sz w:val="20"/>
                <w:lang w:val="en-US"/>
              </w:rPr>
            </w:pPr>
            <w:r w:rsidRPr="00F17D49">
              <w:rPr>
                <w:rFonts w:cs="Arial"/>
                <w:b/>
                <w:bCs/>
                <w:sz w:val="20"/>
              </w:rPr>
              <w:t>Category/funding/restrictions:</w:t>
            </w:r>
            <w:r w:rsidRPr="00F17D49">
              <w:rPr>
                <w:rFonts w:cs="Arial"/>
                <w:sz w:val="20"/>
              </w:rPr>
              <w:t xml:space="preserve"> </w:t>
            </w:r>
            <w:r w:rsidRPr="00F17D49">
              <w:rPr>
                <w:sz w:val="20"/>
              </w:rPr>
              <w:t xml:space="preserve">Permanent or Fixed Term. Cost code: </w:t>
            </w:r>
            <w:r w:rsidR="00914533">
              <w:rPr>
                <w:sz w:val="20"/>
              </w:rPr>
              <w:t>As S</w:t>
            </w:r>
            <w:r w:rsidRPr="00F17D49">
              <w:rPr>
                <w:sz w:val="20"/>
              </w:rPr>
              <w:t>pecified</w:t>
            </w:r>
            <w:bookmarkStart w:id="0" w:name="_GoBack"/>
            <w:bookmarkEnd w:id="0"/>
            <w:r w:rsidR="00914533">
              <w:rPr>
                <w:sz w:val="20"/>
              </w:rPr>
              <w:t>.</w:t>
            </w:r>
          </w:p>
        </w:tc>
      </w:tr>
      <w:tr w:rsidR="00A97B81" w:rsidTr="00065431">
        <w:trPr>
          <w:trHeight w:val="1393"/>
        </w:trPr>
        <w:tc>
          <w:tcPr>
            <w:tcW w:w="9968" w:type="dxa"/>
            <w:vAlign w:val="center"/>
          </w:tcPr>
          <w:p w:rsidR="00A97B81" w:rsidRDefault="00A97B81" w:rsidP="001D6600">
            <w:pPr>
              <w:rPr>
                <w:rFonts w:cs="Arial"/>
                <w:b/>
                <w:sz w:val="20"/>
              </w:rPr>
            </w:pPr>
            <w:r>
              <w:rPr>
                <w:rFonts w:cs="Arial"/>
                <w:b/>
                <w:sz w:val="20"/>
              </w:rPr>
              <w:t xml:space="preserve">HR </w:t>
            </w:r>
            <w:r w:rsidRPr="00DA1BA1">
              <w:rPr>
                <w:rFonts w:cs="Arial"/>
                <w:b/>
                <w:sz w:val="20"/>
              </w:rPr>
              <w:t xml:space="preserve">Office use only: </w:t>
            </w:r>
          </w:p>
          <w:p w:rsidR="00A97B81" w:rsidRPr="005434B7" w:rsidRDefault="00A97B81" w:rsidP="001D6600">
            <w:pPr>
              <w:tabs>
                <w:tab w:val="left" w:pos="180"/>
              </w:tabs>
              <w:rPr>
                <w:rFonts w:cs="Arial"/>
                <w:sz w:val="20"/>
              </w:rPr>
            </w:pPr>
            <w:r w:rsidRPr="005434B7">
              <w:rPr>
                <w:rFonts w:cs="Arial"/>
                <w:b/>
                <w:sz w:val="20"/>
              </w:rPr>
              <w:t xml:space="preserve">APPROVED BY HRM DELEGATE: </w:t>
            </w:r>
            <w:r w:rsidR="00914533">
              <w:rPr>
                <w:rFonts w:cs="Arial"/>
                <w:sz w:val="20"/>
              </w:rPr>
              <w:t>973874 – Assistant Director Workforce and Personnel Services</w:t>
            </w:r>
            <w:r>
              <w:rPr>
                <w:rFonts w:cs="Arial"/>
                <w:sz w:val="20"/>
              </w:rPr>
              <w:t xml:space="preserve"> </w:t>
            </w:r>
            <w:r w:rsidRPr="00DD71AF">
              <w:rPr>
                <w:rFonts w:cs="Arial"/>
                <w:sz w:val="20"/>
              </w:rPr>
              <w:t xml:space="preserve">– </w:t>
            </w:r>
            <w:r w:rsidR="00914533">
              <w:rPr>
                <w:rFonts w:cs="Arial"/>
                <w:sz w:val="20"/>
              </w:rPr>
              <w:t>February 2020</w:t>
            </w:r>
          </w:p>
          <w:p w:rsidR="00A97B81" w:rsidRPr="005434B7" w:rsidRDefault="00A97B81" w:rsidP="001D6600">
            <w:pPr>
              <w:rPr>
                <w:rFonts w:cs="Arial"/>
                <w:sz w:val="20"/>
              </w:rPr>
            </w:pPr>
            <w:r w:rsidRPr="005434B7">
              <w:rPr>
                <w:rFonts w:cs="Arial"/>
                <w:sz w:val="20"/>
              </w:rPr>
              <w:t xml:space="preserve">VEM: </w:t>
            </w:r>
            <w:r w:rsidR="00304E36">
              <w:rPr>
                <w:rFonts w:cs="Arial"/>
                <w:sz w:val="20"/>
              </w:rPr>
              <w:t>51037</w:t>
            </w:r>
          </w:p>
          <w:p w:rsidR="00A97B81" w:rsidRPr="00F17D49" w:rsidRDefault="00A97B81" w:rsidP="00914533">
            <w:pPr>
              <w:rPr>
                <w:rFonts w:cs="Arial"/>
                <w:sz w:val="16"/>
                <w:szCs w:val="16"/>
              </w:rPr>
            </w:pPr>
            <w:r w:rsidRPr="005434B7">
              <w:rPr>
                <w:rFonts w:cs="Arial"/>
                <w:sz w:val="20"/>
              </w:rPr>
              <w:t>Date Duties and Selection Criteria Last Reviewed:</w:t>
            </w:r>
            <w:r w:rsidR="00770025">
              <w:rPr>
                <w:rFonts w:cs="Arial"/>
                <w:sz w:val="20"/>
              </w:rPr>
              <w:t xml:space="preserve">  </w:t>
            </w:r>
            <w:r w:rsidR="00914533">
              <w:rPr>
                <w:rFonts w:cs="Arial"/>
                <w:sz w:val="20"/>
              </w:rPr>
              <w:t>02/18 VRH</w:t>
            </w:r>
          </w:p>
        </w:tc>
      </w:tr>
    </w:tbl>
    <w:p w:rsidR="00D67FFD" w:rsidRPr="00DA1BA1" w:rsidRDefault="00D67FFD" w:rsidP="00A97B81">
      <w:pPr>
        <w:spacing w:after="120"/>
        <w:rPr>
          <w:rFonts w:cs="Arial"/>
          <w:sz w:val="16"/>
          <w:szCs w:val="16"/>
        </w:rPr>
      </w:pPr>
    </w:p>
    <w:sectPr w:rsidR="00D67FFD" w:rsidRPr="00DA1BA1" w:rsidSect="00E26854">
      <w:footerReference w:type="first" r:id="rId14"/>
      <w:pgSz w:w="11906" w:h="16838" w:code="9"/>
      <w:pgMar w:top="1134" w:right="794" w:bottom="907" w:left="1134"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E69" w:rsidRDefault="00545E69">
      <w:r>
        <w:separator/>
      </w:r>
    </w:p>
  </w:endnote>
  <w:endnote w:type="continuationSeparator" w:id="0">
    <w:p w:rsidR="00545E69" w:rsidRDefault="0054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illSans-Light">
    <w:altName w:val="GillSans Light"/>
    <w:panose1 w:val="00000000000000000000"/>
    <w:charset w:val="4D"/>
    <w:family w:val="auto"/>
    <w:notTrueType/>
    <w:pitch w:val="default"/>
    <w:sig w:usb0="03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E89" w:rsidRPr="00A97B81" w:rsidRDefault="00A97B81" w:rsidP="00A97B81">
    <w:pPr>
      <w:pStyle w:val="Footer"/>
    </w:pPr>
    <w:r w:rsidRPr="00A97B81">
      <w:rPr>
        <w:noProof/>
        <w:lang w:eastAsia="en-AU"/>
      </w:rPr>
      <w:drawing>
        <wp:anchor distT="0" distB="0" distL="114300" distR="114300" simplePos="0" relativeHeight="251659264" behindDoc="0" locked="0" layoutInCell="1" allowOverlap="1" wp14:anchorId="578AADBE" wp14:editId="7E382A6F">
          <wp:simplePos x="0" y="0"/>
          <wp:positionH relativeFrom="page">
            <wp:align>left</wp:align>
          </wp:positionH>
          <wp:positionV relativeFrom="paragraph">
            <wp:posOffset>206430</wp:posOffset>
          </wp:positionV>
          <wp:extent cx="7545705" cy="1392555"/>
          <wp:effectExtent l="0" t="0" r="0" b="0"/>
          <wp:wrapThrough wrapText="bothSides">
            <wp:wrapPolygon edited="0">
              <wp:start x="0" y="0"/>
              <wp:lineTo x="0" y="21275"/>
              <wp:lineTo x="21540" y="21275"/>
              <wp:lineTo x="21540" y="0"/>
              <wp:lineTo x="0" y="0"/>
            </wp:wrapPolygon>
          </wp:wrapThrough>
          <wp:docPr id="1" name="Picture 1" descr="Department of Education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5705" cy="13925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E69" w:rsidRDefault="00545E69">
      <w:r>
        <w:separator/>
      </w:r>
    </w:p>
  </w:footnote>
  <w:footnote w:type="continuationSeparator" w:id="0">
    <w:p w:rsidR="00545E69" w:rsidRDefault="00545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FC"/>
    <w:multiLevelType w:val="hybridMultilevel"/>
    <w:tmpl w:val="F670DE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CA1AA3"/>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0A6F6547"/>
    <w:multiLevelType w:val="hybridMultilevel"/>
    <w:tmpl w:val="2350192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C63940"/>
    <w:multiLevelType w:val="hybridMultilevel"/>
    <w:tmpl w:val="9BF0B76E"/>
    <w:lvl w:ilvl="0" w:tplc="BEB2252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27165"/>
    <w:multiLevelType w:val="hybridMultilevel"/>
    <w:tmpl w:val="F1722B26"/>
    <w:lvl w:ilvl="0" w:tplc="ADFE8A60">
      <w:start w:val="1"/>
      <w:numFmt w:val="decimal"/>
      <w:lvlText w:val="%1."/>
      <w:legacy w:legacy="1" w:legacySpace="0" w:legacyIndent="283"/>
      <w:lvlJc w:val="left"/>
      <w:pPr>
        <w:ind w:left="283" w:hanging="283"/>
      </w:pPr>
    </w:lvl>
    <w:lvl w:ilvl="1" w:tplc="04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94D4E1F"/>
    <w:multiLevelType w:val="hybridMultilevel"/>
    <w:tmpl w:val="848EC90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E002C44"/>
    <w:multiLevelType w:val="singleLevel"/>
    <w:tmpl w:val="6928ABB8"/>
    <w:lvl w:ilvl="0">
      <w:start w:val="1"/>
      <w:numFmt w:val="decimal"/>
      <w:lvlText w:val="%1."/>
      <w:legacy w:legacy="1" w:legacySpace="0" w:legacyIndent="283"/>
      <w:lvlJc w:val="left"/>
      <w:pPr>
        <w:ind w:left="283" w:hanging="283"/>
      </w:pPr>
    </w:lvl>
  </w:abstractNum>
  <w:abstractNum w:abstractNumId="7" w15:restartNumberingAfterBreak="0">
    <w:nsid w:val="20AE5D50"/>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57076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2BE06185"/>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5D19B3"/>
    <w:multiLevelType w:val="multilevel"/>
    <w:tmpl w:val="212E3E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C21779"/>
    <w:multiLevelType w:val="hybridMultilevel"/>
    <w:tmpl w:val="4900D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4D6D1C"/>
    <w:multiLevelType w:val="hybridMultilevel"/>
    <w:tmpl w:val="4CA82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C256C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1385444"/>
    <w:multiLevelType w:val="hybridMultilevel"/>
    <w:tmpl w:val="0854F5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EF3B11"/>
    <w:multiLevelType w:val="hybridMultilevel"/>
    <w:tmpl w:val="DF90358A"/>
    <w:lvl w:ilvl="0" w:tplc="0C090003">
      <w:start w:val="1"/>
      <w:numFmt w:val="bullet"/>
      <w:lvlText w:val="o"/>
      <w:lvlJc w:val="left"/>
      <w:pPr>
        <w:ind w:left="720" w:hanging="360"/>
      </w:pPr>
      <w:rPr>
        <w:rFonts w:ascii="Courier New" w:hAnsi="Courier New" w:cs="Courier New" w:hint="default"/>
      </w:rPr>
    </w:lvl>
    <w:lvl w:ilvl="1" w:tplc="69928FBE">
      <w:numFmt w:val="bullet"/>
      <w:lvlText w:val="•"/>
      <w:lvlJc w:val="left"/>
      <w:pPr>
        <w:ind w:left="1800" w:hanging="720"/>
      </w:pPr>
      <w:rPr>
        <w:rFonts w:ascii="Gill Sans MT" w:eastAsia="Times New Roman" w:hAnsi="Gill Sans MT"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A23BFB"/>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AE457BB"/>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4D4D49BF"/>
    <w:multiLevelType w:val="hybridMultilevel"/>
    <w:tmpl w:val="B7AE2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5C0EF3"/>
    <w:multiLevelType w:val="hybridMultilevel"/>
    <w:tmpl w:val="576E89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0662FAF"/>
    <w:multiLevelType w:val="singleLevel"/>
    <w:tmpl w:val="06AEA010"/>
    <w:lvl w:ilvl="0">
      <w:start w:val="1"/>
      <w:numFmt w:val="decimal"/>
      <w:lvlText w:val="%1."/>
      <w:legacy w:legacy="1" w:legacySpace="0" w:legacyIndent="283"/>
      <w:lvlJc w:val="left"/>
      <w:pPr>
        <w:ind w:left="283" w:hanging="283"/>
      </w:pPr>
    </w:lvl>
  </w:abstractNum>
  <w:abstractNum w:abstractNumId="25" w15:restartNumberingAfterBreak="0">
    <w:nsid w:val="52222D6A"/>
    <w:multiLevelType w:val="hybridMultilevel"/>
    <w:tmpl w:val="D84439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63159BD"/>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6360C43"/>
    <w:multiLevelType w:val="hybridMultilevel"/>
    <w:tmpl w:val="212E3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8A44D4"/>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57E8224C"/>
    <w:multiLevelType w:val="singleLevel"/>
    <w:tmpl w:val="6B143FDC"/>
    <w:lvl w:ilvl="0">
      <w:start w:val="1"/>
      <w:numFmt w:val="decimal"/>
      <w:lvlText w:val="%1."/>
      <w:lvlJc w:val="left"/>
      <w:pPr>
        <w:tabs>
          <w:tab w:val="num" w:pos="360"/>
        </w:tabs>
        <w:ind w:left="360" w:hanging="360"/>
      </w:pPr>
    </w:lvl>
  </w:abstractNum>
  <w:abstractNum w:abstractNumId="31"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DD035C8"/>
    <w:multiLevelType w:val="multilevel"/>
    <w:tmpl w:val="0854F55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8A113A"/>
    <w:multiLevelType w:val="hybridMultilevel"/>
    <w:tmpl w:val="2F66E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1508F7"/>
    <w:multiLevelType w:val="hybridMultilevel"/>
    <w:tmpl w:val="5942D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6342FF7"/>
    <w:multiLevelType w:val="hybridMultilevel"/>
    <w:tmpl w:val="834EB7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69E0F69"/>
    <w:multiLevelType w:val="singleLevel"/>
    <w:tmpl w:val="B3B26972"/>
    <w:lvl w:ilvl="0">
      <w:start w:val="1"/>
      <w:numFmt w:val="decimal"/>
      <w:lvlText w:val="%1."/>
      <w:lvlJc w:val="left"/>
      <w:pPr>
        <w:tabs>
          <w:tab w:val="num" w:pos="360"/>
        </w:tabs>
        <w:ind w:left="360" w:hanging="360"/>
      </w:pPr>
      <w:rPr>
        <w:rFonts w:hint="default"/>
      </w:rPr>
    </w:lvl>
  </w:abstractNum>
  <w:abstractNum w:abstractNumId="37" w15:restartNumberingAfterBreak="0">
    <w:nsid w:val="67050755"/>
    <w:multiLevelType w:val="hybridMultilevel"/>
    <w:tmpl w:val="6690416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155AB0"/>
    <w:multiLevelType w:val="hybridMultilevel"/>
    <w:tmpl w:val="C09E2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90488"/>
    <w:multiLevelType w:val="hybridMultilevel"/>
    <w:tmpl w:val="FB6AC4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97009D9"/>
    <w:multiLevelType w:val="singleLevel"/>
    <w:tmpl w:val="0C09000F"/>
    <w:lvl w:ilvl="0">
      <w:start w:val="1"/>
      <w:numFmt w:val="decimal"/>
      <w:lvlText w:val="%1."/>
      <w:lvlJc w:val="left"/>
      <w:pPr>
        <w:tabs>
          <w:tab w:val="num" w:pos="360"/>
        </w:tabs>
        <w:ind w:left="360" w:hanging="360"/>
      </w:pPr>
    </w:lvl>
  </w:abstractNum>
  <w:abstractNum w:abstractNumId="41" w15:restartNumberingAfterBreak="0">
    <w:nsid w:val="7B0372F1"/>
    <w:multiLevelType w:val="hybridMultilevel"/>
    <w:tmpl w:val="8AC423D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F3611B8"/>
    <w:multiLevelType w:val="singleLevel"/>
    <w:tmpl w:val="B3B26972"/>
    <w:lvl w:ilvl="0">
      <w:start w:val="1"/>
      <w:numFmt w:val="decimal"/>
      <w:lvlText w:val="%1."/>
      <w:lvlJc w:val="left"/>
      <w:pPr>
        <w:tabs>
          <w:tab w:val="num" w:pos="360"/>
        </w:tabs>
        <w:ind w:left="360" w:hanging="360"/>
      </w:pPr>
      <w:rPr>
        <w:rFonts w:hint="default"/>
      </w:rPr>
    </w:lvl>
  </w:abstractNum>
  <w:num w:numId="1">
    <w:abstractNumId w:val="19"/>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36"/>
  </w:num>
  <w:num w:numId="5">
    <w:abstractNumId w:val="4"/>
  </w:num>
  <w:num w:numId="6">
    <w:abstractNumId w:val="39"/>
  </w:num>
  <w:num w:numId="7">
    <w:abstractNumId w:val="15"/>
  </w:num>
  <w:num w:numId="8">
    <w:abstractNumId w:val="35"/>
  </w:num>
  <w:num w:numId="9">
    <w:abstractNumId w:val="27"/>
  </w:num>
  <w:num w:numId="10">
    <w:abstractNumId w:val="11"/>
  </w:num>
  <w:num w:numId="11">
    <w:abstractNumId w:val="5"/>
  </w:num>
  <w:num w:numId="12">
    <w:abstractNumId w:val="26"/>
  </w:num>
  <w:num w:numId="13">
    <w:abstractNumId w:val="9"/>
  </w:num>
  <w:num w:numId="14">
    <w:abstractNumId w:val="20"/>
  </w:num>
  <w:num w:numId="15">
    <w:abstractNumId w:val="40"/>
  </w:num>
  <w:num w:numId="16">
    <w:abstractNumId w:val="16"/>
  </w:num>
  <w:num w:numId="17">
    <w:abstractNumId w:val="33"/>
  </w:num>
  <w:num w:numId="18">
    <w:abstractNumId w:val="32"/>
  </w:num>
  <w:num w:numId="19">
    <w:abstractNumId w:val="41"/>
  </w:num>
  <w:num w:numId="20">
    <w:abstractNumId w:val="7"/>
  </w:num>
  <w:num w:numId="21">
    <w:abstractNumId w:val="1"/>
  </w:num>
  <w:num w:numId="22">
    <w:abstractNumId w:val="18"/>
  </w:num>
  <w:num w:numId="23">
    <w:abstractNumId w:val="29"/>
  </w:num>
  <w:num w:numId="24">
    <w:abstractNumId w:val="24"/>
  </w:num>
  <w:num w:numId="25">
    <w:abstractNumId w:val="6"/>
  </w:num>
  <w:num w:numId="26">
    <w:abstractNumId w:val="30"/>
  </w:num>
  <w:num w:numId="27">
    <w:abstractNumId w:val="38"/>
  </w:num>
  <w:num w:numId="28">
    <w:abstractNumId w:val="31"/>
  </w:num>
  <w:num w:numId="29">
    <w:abstractNumId w:val="23"/>
  </w:num>
  <w:num w:numId="30">
    <w:abstractNumId w:val="22"/>
  </w:num>
  <w:num w:numId="31">
    <w:abstractNumId w:val="3"/>
  </w:num>
  <w:num w:numId="32">
    <w:abstractNumId w:val="2"/>
  </w:num>
  <w:num w:numId="33">
    <w:abstractNumId w:val="13"/>
  </w:num>
  <w:num w:numId="34">
    <w:abstractNumId w:val="14"/>
  </w:num>
  <w:num w:numId="35">
    <w:abstractNumId w:val="21"/>
  </w:num>
  <w:num w:numId="36">
    <w:abstractNumId w:val="12"/>
  </w:num>
  <w:num w:numId="37">
    <w:abstractNumId w:val="28"/>
  </w:num>
  <w:num w:numId="38">
    <w:abstractNumId w:val="10"/>
  </w:num>
  <w:num w:numId="39">
    <w:abstractNumId w:val="17"/>
  </w:num>
  <w:num w:numId="40">
    <w:abstractNumId w:val="34"/>
  </w:num>
  <w:num w:numId="41">
    <w:abstractNumId w:val="37"/>
  </w:num>
  <w:num w:numId="42">
    <w:abstractNumId w:val="19"/>
  </w:num>
  <w:num w:numId="43">
    <w:abstractNumId w:val="0"/>
  </w:num>
  <w:num w:numId="4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A5"/>
    <w:rsid w:val="0000262A"/>
    <w:rsid w:val="00007552"/>
    <w:rsid w:val="000075E4"/>
    <w:rsid w:val="0001154A"/>
    <w:rsid w:val="00032C97"/>
    <w:rsid w:val="00042EDF"/>
    <w:rsid w:val="00050E66"/>
    <w:rsid w:val="00052C4C"/>
    <w:rsid w:val="000566C5"/>
    <w:rsid w:val="0006158F"/>
    <w:rsid w:val="00065431"/>
    <w:rsid w:val="00075C70"/>
    <w:rsid w:val="00076775"/>
    <w:rsid w:val="000903C2"/>
    <w:rsid w:val="000A311B"/>
    <w:rsid w:val="000B5356"/>
    <w:rsid w:val="000C2E3E"/>
    <w:rsid w:val="000E0D7E"/>
    <w:rsid w:val="00101679"/>
    <w:rsid w:val="0011216C"/>
    <w:rsid w:val="001215F1"/>
    <w:rsid w:val="00123ABE"/>
    <w:rsid w:val="001262A2"/>
    <w:rsid w:val="001324E7"/>
    <w:rsid w:val="00133E64"/>
    <w:rsid w:val="001371B5"/>
    <w:rsid w:val="00147D26"/>
    <w:rsid w:val="00151C10"/>
    <w:rsid w:val="00154BEB"/>
    <w:rsid w:val="001713A2"/>
    <w:rsid w:val="001729ED"/>
    <w:rsid w:val="00186DA5"/>
    <w:rsid w:val="00187BF5"/>
    <w:rsid w:val="001B45E2"/>
    <w:rsid w:val="001D6600"/>
    <w:rsid w:val="001E1669"/>
    <w:rsid w:val="001E5D40"/>
    <w:rsid w:val="001F1F90"/>
    <w:rsid w:val="00203D8A"/>
    <w:rsid w:val="00206908"/>
    <w:rsid w:val="00215FAF"/>
    <w:rsid w:val="002475D5"/>
    <w:rsid w:val="00250368"/>
    <w:rsid w:val="00251B02"/>
    <w:rsid w:val="00257138"/>
    <w:rsid w:val="00271804"/>
    <w:rsid w:val="002865A1"/>
    <w:rsid w:val="00286BF8"/>
    <w:rsid w:val="00290451"/>
    <w:rsid w:val="002B33EB"/>
    <w:rsid w:val="002B568D"/>
    <w:rsid w:val="002B6C04"/>
    <w:rsid w:val="002B7C3E"/>
    <w:rsid w:val="002C37CD"/>
    <w:rsid w:val="002D47CE"/>
    <w:rsid w:val="002E68B0"/>
    <w:rsid w:val="00304E36"/>
    <w:rsid w:val="003064AF"/>
    <w:rsid w:val="0031067E"/>
    <w:rsid w:val="00316BF6"/>
    <w:rsid w:val="00325DD9"/>
    <w:rsid w:val="003327D1"/>
    <w:rsid w:val="00341516"/>
    <w:rsid w:val="00345AC5"/>
    <w:rsid w:val="00352F9B"/>
    <w:rsid w:val="003722B8"/>
    <w:rsid w:val="00373AB6"/>
    <w:rsid w:val="00384C6A"/>
    <w:rsid w:val="003A2483"/>
    <w:rsid w:val="003A4B04"/>
    <w:rsid w:val="003C69DA"/>
    <w:rsid w:val="003E5DD5"/>
    <w:rsid w:val="003E7D93"/>
    <w:rsid w:val="00404992"/>
    <w:rsid w:val="0040567E"/>
    <w:rsid w:val="00415230"/>
    <w:rsid w:val="00424B95"/>
    <w:rsid w:val="00430D4D"/>
    <w:rsid w:val="004356FE"/>
    <w:rsid w:val="004B077B"/>
    <w:rsid w:val="004B1AB4"/>
    <w:rsid w:val="004D2605"/>
    <w:rsid w:val="004E5847"/>
    <w:rsid w:val="0051515D"/>
    <w:rsid w:val="0052432F"/>
    <w:rsid w:val="005247AF"/>
    <w:rsid w:val="00525372"/>
    <w:rsid w:val="005342D7"/>
    <w:rsid w:val="005413CE"/>
    <w:rsid w:val="00545E69"/>
    <w:rsid w:val="00547224"/>
    <w:rsid w:val="00547648"/>
    <w:rsid w:val="005516E4"/>
    <w:rsid w:val="0057322C"/>
    <w:rsid w:val="00573A71"/>
    <w:rsid w:val="00580CD3"/>
    <w:rsid w:val="005A0058"/>
    <w:rsid w:val="005B6E03"/>
    <w:rsid w:val="005D6329"/>
    <w:rsid w:val="005D72FB"/>
    <w:rsid w:val="005E0CDE"/>
    <w:rsid w:val="005E558E"/>
    <w:rsid w:val="005E7C16"/>
    <w:rsid w:val="00604CAD"/>
    <w:rsid w:val="00636127"/>
    <w:rsid w:val="00640254"/>
    <w:rsid w:val="0064578D"/>
    <w:rsid w:val="00647F72"/>
    <w:rsid w:val="0066596E"/>
    <w:rsid w:val="00676377"/>
    <w:rsid w:val="00695E66"/>
    <w:rsid w:val="006A0EE6"/>
    <w:rsid w:val="006B20B4"/>
    <w:rsid w:val="006B577F"/>
    <w:rsid w:val="006B60E4"/>
    <w:rsid w:val="006D02B7"/>
    <w:rsid w:val="006D0906"/>
    <w:rsid w:val="006D43FA"/>
    <w:rsid w:val="00701304"/>
    <w:rsid w:val="00703913"/>
    <w:rsid w:val="00713C53"/>
    <w:rsid w:val="007211AC"/>
    <w:rsid w:val="00737413"/>
    <w:rsid w:val="00743E5B"/>
    <w:rsid w:val="007548AF"/>
    <w:rsid w:val="00764027"/>
    <w:rsid w:val="00764252"/>
    <w:rsid w:val="00770025"/>
    <w:rsid w:val="0077509D"/>
    <w:rsid w:val="00786FA5"/>
    <w:rsid w:val="007B196F"/>
    <w:rsid w:val="007B67E4"/>
    <w:rsid w:val="007C05D1"/>
    <w:rsid w:val="007C10FF"/>
    <w:rsid w:val="007C18A0"/>
    <w:rsid w:val="007C2F68"/>
    <w:rsid w:val="007C3613"/>
    <w:rsid w:val="007D1E40"/>
    <w:rsid w:val="007D35B1"/>
    <w:rsid w:val="007E2B41"/>
    <w:rsid w:val="00812E41"/>
    <w:rsid w:val="0083242E"/>
    <w:rsid w:val="00855862"/>
    <w:rsid w:val="00883522"/>
    <w:rsid w:val="00885142"/>
    <w:rsid w:val="008967F6"/>
    <w:rsid w:val="00896A28"/>
    <w:rsid w:val="008A5726"/>
    <w:rsid w:val="008C0043"/>
    <w:rsid w:val="008C1F7D"/>
    <w:rsid w:val="008C20EA"/>
    <w:rsid w:val="008C4AF1"/>
    <w:rsid w:val="008C6A0B"/>
    <w:rsid w:val="008D5696"/>
    <w:rsid w:val="008E3768"/>
    <w:rsid w:val="008F2BDA"/>
    <w:rsid w:val="008F5CD8"/>
    <w:rsid w:val="00902909"/>
    <w:rsid w:val="009077E0"/>
    <w:rsid w:val="00907D71"/>
    <w:rsid w:val="00912BA2"/>
    <w:rsid w:val="00914533"/>
    <w:rsid w:val="00914655"/>
    <w:rsid w:val="009202FA"/>
    <w:rsid w:val="00920CB5"/>
    <w:rsid w:val="009402EF"/>
    <w:rsid w:val="009443E0"/>
    <w:rsid w:val="0096182E"/>
    <w:rsid w:val="00961FA8"/>
    <w:rsid w:val="00970C76"/>
    <w:rsid w:val="009722A0"/>
    <w:rsid w:val="00993860"/>
    <w:rsid w:val="00997B7B"/>
    <w:rsid w:val="009A0328"/>
    <w:rsid w:val="009E27CA"/>
    <w:rsid w:val="009E4128"/>
    <w:rsid w:val="009E5328"/>
    <w:rsid w:val="00A00222"/>
    <w:rsid w:val="00A11CDE"/>
    <w:rsid w:val="00A157A3"/>
    <w:rsid w:val="00A17598"/>
    <w:rsid w:val="00A41183"/>
    <w:rsid w:val="00A47406"/>
    <w:rsid w:val="00A5658E"/>
    <w:rsid w:val="00A61D7A"/>
    <w:rsid w:val="00A62996"/>
    <w:rsid w:val="00A8363A"/>
    <w:rsid w:val="00A931C0"/>
    <w:rsid w:val="00A94CA1"/>
    <w:rsid w:val="00A95F99"/>
    <w:rsid w:val="00A96030"/>
    <w:rsid w:val="00A963D2"/>
    <w:rsid w:val="00A97B81"/>
    <w:rsid w:val="00AA04DF"/>
    <w:rsid w:val="00AA3032"/>
    <w:rsid w:val="00AB14E5"/>
    <w:rsid w:val="00AB4DE6"/>
    <w:rsid w:val="00AB5370"/>
    <w:rsid w:val="00AC671A"/>
    <w:rsid w:val="00AD0DF9"/>
    <w:rsid w:val="00AD701F"/>
    <w:rsid w:val="00AE6C0D"/>
    <w:rsid w:val="00AF4CC1"/>
    <w:rsid w:val="00B0226B"/>
    <w:rsid w:val="00B05A13"/>
    <w:rsid w:val="00B1001B"/>
    <w:rsid w:val="00B16306"/>
    <w:rsid w:val="00B17F27"/>
    <w:rsid w:val="00B44484"/>
    <w:rsid w:val="00B50D6E"/>
    <w:rsid w:val="00B51F46"/>
    <w:rsid w:val="00B531B3"/>
    <w:rsid w:val="00B711AD"/>
    <w:rsid w:val="00B76F8E"/>
    <w:rsid w:val="00B87680"/>
    <w:rsid w:val="00B91979"/>
    <w:rsid w:val="00B94A03"/>
    <w:rsid w:val="00BA3103"/>
    <w:rsid w:val="00BB1079"/>
    <w:rsid w:val="00BB7D26"/>
    <w:rsid w:val="00BF11E2"/>
    <w:rsid w:val="00C10317"/>
    <w:rsid w:val="00C15439"/>
    <w:rsid w:val="00C23C69"/>
    <w:rsid w:val="00C25357"/>
    <w:rsid w:val="00C32ABE"/>
    <w:rsid w:val="00C3332B"/>
    <w:rsid w:val="00C42140"/>
    <w:rsid w:val="00C46BD2"/>
    <w:rsid w:val="00C54710"/>
    <w:rsid w:val="00C56890"/>
    <w:rsid w:val="00C665A6"/>
    <w:rsid w:val="00C75BCD"/>
    <w:rsid w:val="00C77013"/>
    <w:rsid w:val="00C779A3"/>
    <w:rsid w:val="00C85DFB"/>
    <w:rsid w:val="00C92FDE"/>
    <w:rsid w:val="00CA40F1"/>
    <w:rsid w:val="00CA5954"/>
    <w:rsid w:val="00CB1A17"/>
    <w:rsid w:val="00CC3B4E"/>
    <w:rsid w:val="00CD0B04"/>
    <w:rsid w:val="00CD162D"/>
    <w:rsid w:val="00CD3385"/>
    <w:rsid w:val="00CD4A50"/>
    <w:rsid w:val="00CD50E2"/>
    <w:rsid w:val="00CE3461"/>
    <w:rsid w:val="00CF49A7"/>
    <w:rsid w:val="00D1078F"/>
    <w:rsid w:val="00D23355"/>
    <w:rsid w:val="00D41E7E"/>
    <w:rsid w:val="00D52B8F"/>
    <w:rsid w:val="00D570B3"/>
    <w:rsid w:val="00D67977"/>
    <w:rsid w:val="00D67FFD"/>
    <w:rsid w:val="00D72FFC"/>
    <w:rsid w:val="00D76ACF"/>
    <w:rsid w:val="00D92339"/>
    <w:rsid w:val="00D941E3"/>
    <w:rsid w:val="00DA1BA1"/>
    <w:rsid w:val="00DA328E"/>
    <w:rsid w:val="00DA63F6"/>
    <w:rsid w:val="00DA7632"/>
    <w:rsid w:val="00DB2B4F"/>
    <w:rsid w:val="00DC01E5"/>
    <w:rsid w:val="00DC7124"/>
    <w:rsid w:val="00DD6BA0"/>
    <w:rsid w:val="00DF762D"/>
    <w:rsid w:val="00E046D4"/>
    <w:rsid w:val="00E05EE4"/>
    <w:rsid w:val="00E14CF2"/>
    <w:rsid w:val="00E26854"/>
    <w:rsid w:val="00E3007B"/>
    <w:rsid w:val="00E47B7F"/>
    <w:rsid w:val="00E52C76"/>
    <w:rsid w:val="00E52DEF"/>
    <w:rsid w:val="00E57665"/>
    <w:rsid w:val="00E762CD"/>
    <w:rsid w:val="00E900B3"/>
    <w:rsid w:val="00EB5FC3"/>
    <w:rsid w:val="00ED519E"/>
    <w:rsid w:val="00EE2E89"/>
    <w:rsid w:val="00EE3D96"/>
    <w:rsid w:val="00EE6BAB"/>
    <w:rsid w:val="00EF29FD"/>
    <w:rsid w:val="00F0007E"/>
    <w:rsid w:val="00F2123A"/>
    <w:rsid w:val="00F25B48"/>
    <w:rsid w:val="00F37083"/>
    <w:rsid w:val="00F652A5"/>
    <w:rsid w:val="00F70E56"/>
    <w:rsid w:val="00F71DE3"/>
    <w:rsid w:val="00F727F6"/>
    <w:rsid w:val="00F94D7A"/>
    <w:rsid w:val="00FC6C06"/>
    <w:rsid w:val="00FD00CB"/>
    <w:rsid w:val="00FD5A58"/>
    <w:rsid w:val="00FE1FD3"/>
    <w:rsid w:val="00FE2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66BED40"/>
  <w15:chartTrackingRefBased/>
  <w15:docId w15:val="{AED64AA4-4AAC-4E56-8BE6-3FA90A39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55"/>
    <w:rPr>
      <w:rFonts w:ascii="Gill Sans MT" w:hAnsi="Gill Sans MT"/>
      <w:sz w:val="24"/>
      <w:lang w:eastAsia="en-US"/>
    </w:rPr>
  </w:style>
  <w:style w:type="paragraph" w:styleId="Heading1">
    <w:name w:val="heading 1"/>
    <w:basedOn w:val="Normal"/>
    <w:next w:val="Normal"/>
    <w:link w:val="Heading1Char"/>
    <w:qFormat/>
    <w:rsid w:val="00065431"/>
    <w:pPr>
      <w:keepNext/>
      <w:keepLines/>
      <w:spacing w:before="480" w:after="480"/>
      <w:jc w:val="center"/>
      <w:outlineLvl w:val="0"/>
    </w:pPr>
    <w:rPr>
      <w:rFonts w:eastAsiaTheme="majorEastAsia" w:cstheme="majorBidi"/>
      <w:b/>
      <w:spacing w:val="20"/>
      <w:sz w:val="32"/>
      <w:szCs w:val="32"/>
    </w:rPr>
  </w:style>
  <w:style w:type="paragraph" w:styleId="Heading2">
    <w:name w:val="heading 2"/>
    <w:basedOn w:val="Normal"/>
    <w:next w:val="Normal"/>
    <w:qFormat/>
    <w:rsid w:val="00A97B81"/>
    <w:pPr>
      <w:keepNext/>
      <w:spacing w:before="240" w:after="240"/>
      <w:outlineLvl w:val="1"/>
    </w:pPr>
    <w:rPr>
      <w:b/>
      <w:color w:val="A8A400"/>
      <w:sz w:val="28"/>
    </w:rPr>
  </w:style>
  <w:style w:type="paragraph" w:styleId="Heading3">
    <w:name w:val="heading 3"/>
    <w:basedOn w:val="Normal"/>
    <w:next w:val="Normal"/>
    <w:qFormat/>
    <w:rsid w:val="00A97B81"/>
    <w:pPr>
      <w:keepNext/>
      <w:spacing w:before="240" w:after="240"/>
      <w:outlineLvl w:val="2"/>
    </w:pPr>
    <w:rPr>
      <w:rFonts w:cs="Arial"/>
      <w:b/>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Header"/>
    <w:pPr>
      <w:widowControl w:val="0"/>
      <w:tabs>
        <w:tab w:val="clear" w:pos="4153"/>
        <w:tab w:val="clear" w:pos="8306"/>
        <w:tab w:val="center" w:pos="4320"/>
        <w:tab w:val="right" w:pos="8640"/>
      </w:tabs>
      <w:suppressAutoHyphens/>
      <w:autoSpaceDE w:val="0"/>
      <w:autoSpaceDN w:val="0"/>
      <w:adjustRightInd w:val="0"/>
      <w:spacing w:before="57" w:line="310" w:lineRule="atLeast"/>
      <w:textAlignment w:val="baseline"/>
    </w:pPr>
    <w:rPr>
      <w:rFonts w:ascii="GillSans-Light" w:hAnsi="GillSans-Light"/>
      <w:color w:val="000000"/>
      <w:sz w:val="23"/>
      <w:szCs w:val="23"/>
    </w:rPr>
  </w:style>
  <w:style w:type="paragraph" w:styleId="Header">
    <w:name w:val="header"/>
    <w:basedOn w:val="Normal"/>
    <w:pPr>
      <w:tabs>
        <w:tab w:val="center" w:pos="4153"/>
        <w:tab w:val="right" w:pos="8306"/>
      </w:tabs>
    </w:p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paragraph" w:styleId="Footer">
    <w:name w:val="footer"/>
    <w:basedOn w:val="Normal"/>
    <w:rsid w:val="00636127"/>
    <w:pPr>
      <w:tabs>
        <w:tab w:val="center" w:pos="4153"/>
        <w:tab w:val="right" w:pos="8306"/>
      </w:tabs>
    </w:pPr>
  </w:style>
  <w:style w:type="paragraph" w:styleId="BodyText2">
    <w:name w:val="Body Text 2"/>
    <w:basedOn w:val="Normal"/>
    <w:rsid w:val="00186DA5"/>
    <w:rPr>
      <w:rFonts w:ascii="Arial" w:hAnsi="Arial" w:cs="Arial"/>
      <w:sz w:val="20"/>
    </w:rPr>
  </w:style>
  <w:style w:type="paragraph" w:styleId="Title">
    <w:name w:val="Title"/>
    <w:basedOn w:val="Normal"/>
    <w:qFormat/>
    <w:rsid w:val="00914655"/>
    <w:pPr>
      <w:jc w:val="center"/>
    </w:pPr>
    <w:rPr>
      <w:rFonts w:cs="Arial"/>
      <w:b/>
      <w:sz w:val="32"/>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186DA5"/>
    <w:pPr>
      <w:spacing w:before="100" w:beforeAutospacing="1" w:after="100" w:afterAutospacing="1"/>
    </w:pPr>
    <w:rPr>
      <w:szCs w:val="24"/>
      <w:lang w:val="en-US"/>
    </w:rPr>
  </w:style>
  <w:style w:type="character" w:styleId="Hyperlink">
    <w:name w:val="Hyperlink"/>
    <w:rsid w:val="00186DA5"/>
    <w:rPr>
      <w:color w:val="0000FF"/>
      <w:u w:val="single"/>
    </w:rPr>
  </w:style>
  <w:style w:type="paragraph" w:styleId="BalloonText">
    <w:name w:val="Balloon Text"/>
    <w:basedOn w:val="Normal"/>
    <w:semiHidden/>
    <w:rsid w:val="002475D5"/>
    <w:rPr>
      <w:rFonts w:ascii="Tahoma" w:hAnsi="Tahoma" w:cs="Tahoma"/>
      <w:sz w:val="16"/>
      <w:szCs w:val="16"/>
    </w:rPr>
  </w:style>
  <w:style w:type="paragraph" w:styleId="BodyText3">
    <w:name w:val="Body Text 3"/>
    <w:basedOn w:val="Normal"/>
    <w:rsid w:val="00A5658E"/>
    <w:pPr>
      <w:spacing w:after="120"/>
    </w:pPr>
    <w:rPr>
      <w:sz w:val="16"/>
      <w:szCs w:val="16"/>
    </w:rPr>
  </w:style>
  <w:style w:type="paragraph" w:styleId="BodyText">
    <w:name w:val="Body Text"/>
    <w:basedOn w:val="Normal"/>
    <w:rsid w:val="00BB1079"/>
    <w:pPr>
      <w:spacing w:after="120"/>
    </w:pPr>
  </w:style>
  <w:style w:type="character" w:styleId="PageNumber">
    <w:name w:val="page number"/>
    <w:basedOn w:val="DefaultParagraphFont"/>
    <w:rsid w:val="008C20EA"/>
  </w:style>
  <w:style w:type="character" w:styleId="CommentReference">
    <w:name w:val="annotation reference"/>
    <w:rsid w:val="00EE2E89"/>
    <w:rPr>
      <w:sz w:val="16"/>
      <w:szCs w:val="16"/>
    </w:rPr>
  </w:style>
  <w:style w:type="paragraph" w:styleId="CommentText">
    <w:name w:val="annotation text"/>
    <w:basedOn w:val="Normal"/>
    <w:link w:val="CommentTextChar"/>
    <w:rsid w:val="00EE2E89"/>
    <w:rPr>
      <w:sz w:val="20"/>
    </w:rPr>
  </w:style>
  <w:style w:type="character" w:customStyle="1" w:styleId="CommentTextChar">
    <w:name w:val="Comment Text Char"/>
    <w:link w:val="CommentText"/>
    <w:rsid w:val="00EE2E89"/>
    <w:rPr>
      <w:lang w:eastAsia="en-US"/>
    </w:rPr>
  </w:style>
  <w:style w:type="paragraph" w:styleId="CommentSubject">
    <w:name w:val="annotation subject"/>
    <w:basedOn w:val="CommentText"/>
    <w:next w:val="CommentText"/>
    <w:link w:val="CommentSubjectChar"/>
    <w:rsid w:val="00EE2E89"/>
    <w:rPr>
      <w:b/>
      <w:bCs/>
    </w:rPr>
  </w:style>
  <w:style w:type="character" w:customStyle="1" w:styleId="CommentSubjectChar">
    <w:name w:val="Comment Subject Char"/>
    <w:link w:val="CommentSubject"/>
    <w:rsid w:val="00EE2E89"/>
    <w:rPr>
      <w:b/>
      <w:bCs/>
      <w:lang w:eastAsia="en-US"/>
    </w:rPr>
  </w:style>
  <w:style w:type="paragraph" w:styleId="ListParagraph">
    <w:name w:val="List Paragraph"/>
    <w:basedOn w:val="Normal"/>
    <w:uiPriority w:val="34"/>
    <w:qFormat/>
    <w:rsid w:val="00E14CF2"/>
    <w:pPr>
      <w:spacing w:after="160" w:line="259"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065431"/>
    <w:rPr>
      <w:rFonts w:ascii="Gill Sans MT" w:eastAsiaTheme="majorEastAsia" w:hAnsi="Gill Sans MT" w:cstheme="majorBidi"/>
      <w:b/>
      <w:spacing w:val="20"/>
      <w:sz w:val="32"/>
      <w:szCs w:val="32"/>
      <w:lang w:eastAsia="en-US"/>
    </w:rPr>
  </w:style>
  <w:style w:type="table" w:styleId="TableGrid">
    <w:name w:val="Table Grid"/>
    <w:basedOn w:val="TableNormal"/>
    <w:rsid w:val="00A9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A24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97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tas.gov.au/documentcentre/Documents/Conditions-of-Use-Policy-for-All-Users-of-Information-and-Communication-Technolog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pac.tas.gov.au/divisions/ssm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58E1B6B0BC284D9BA155B3E734020A" ma:contentTypeVersion="2" ma:contentTypeDescription="Create a new document." ma:contentTypeScope="" ma:versionID="e852ef5ff5f94570d2533cfaba16cdf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A3E3-009A-4A25-BE66-8662FB7C8712}">
  <ds:schemaRefs>
    <ds:schemaRef ds:uri="http://schemas.microsoft.com/office/2006/metadata/longProperties"/>
  </ds:schemaRefs>
</ds:datastoreItem>
</file>

<file path=customXml/itemProps2.xml><?xml version="1.0" encoding="utf-8"?>
<ds:datastoreItem xmlns:ds="http://schemas.openxmlformats.org/officeDocument/2006/customXml" ds:itemID="{0ED86051-2A25-446B-B365-3693ED0F1AE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443814FA-0E23-4EE4-8580-FFCC7CF78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9296F5-E589-4ADB-873D-8B4A295983CE}">
  <ds:schemaRefs>
    <ds:schemaRef ds:uri="http://schemas.microsoft.com/sharepoint/v3/contenttype/forms"/>
  </ds:schemaRefs>
</ds:datastoreItem>
</file>

<file path=customXml/itemProps5.xml><?xml version="1.0" encoding="utf-8"?>
<ds:datastoreItem xmlns:ds="http://schemas.openxmlformats.org/officeDocument/2006/customXml" ds:itemID="{194102D9-68C9-4400-810E-99FB4119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9000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Department of Education</Company>
  <LinksUpToDate>false</LinksUpToDate>
  <CharactersWithSpaces>10422</CharactersWithSpaces>
  <SharedDoc>false</SharedDoc>
  <HLinks>
    <vt:vector size="12" baseType="variant">
      <vt:variant>
        <vt:i4>720919</vt:i4>
      </vt:variant>
      <vt:variant>
        <vt:i4>3</vt:i4>
      </vt:variant>
      <vt:variant>
        <vt:i4>0</vt:i4>
      </vt:variant>
      <vt:variant>
        <vt:i4>5</vt:i4>
      </vt:variant>
      <vt:variant>
        <vt:lpwstr>https://www.education.tas.gov.au/documentcentre/Documents/Conditions-of-Use-Policy-for-All-Users-of-Information-and-Communication-Technology.pdf</vt:lpwstr>
      </vt:variant>
      <vt:variant>
        <vt:lpwstr/>
      </vt:variant>
      <vt:variant>
        <vt:i4>1572928</vt:i4>
      </vt:variant>
      <vt:variant>
        <vt:i4>0</vt:i4>
      </vt:variant>
      <vt:variant>
        <vt:i4>0</vt:i4>
      </vt:variant>
      <vt:variant>
        <vt:i4>5</vt:i4>
      </vt:variant>
      <vt:variant>
        <vt:lpwstr>http://www.dpac.tas.gov.au/divisions/ssmo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Scott.Smith</dc:creator>
  <cp:keywords>Department of Education</cp:keywords>
  <cp:lastModifiedBy>Dillon, Julia G</cp:lastModifiedBy>
  <cp:revision>2</cp:revision>
  <cp:lastPrinted>2012-01-17T01:13:00Z</cp:lastPrinted>
  <dcterms:created xsi:type="dcterms:W3CDTF">2020-05-13T01:09:00Z</dcterms:created>
  <dcterms:modified xsi:type="dcterms:W3CDTF">2020-05-13T01:09:00Z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Corporate Services</vt:lpwstr>
  </property>
  <property fmtid="{D5CDD505-2E9C-101B-9397-08002B2CF9AE}" pid="3" name="Classification Award">
    <vt:lpwstr>Administrative and Clerical Employees</vt:lpwstr>
  </property>
  <property fmtid="{D5CDD505-2E9C-101B-9397-08002B2CF9AE}" pid="4" name="Classification Level">
    <vt:lpwstr>band4</vt:lpwstr>
  </property>
  <property fmtid="{D5CDD505-2E9C-101B-9397-08002B2CF9AE}" pid="5" name="Leave During Appointment">
    <vt:lpwstr/>
  </property>
  <property fmtid="{D5CDD505-2E9C-101B-9397-08002B2CF9AE}" pid="6" name="Overtime">
    <vt:lpwstr/>
  </property>
  <property fmtid="{D5CDD505-2E9C-101B-9397-08002B2CF9AE}" pid="7" name="Position Number">
    <vt:lpwstr>Generic</vt:lpwstr>
  </property>
  <property fmtid="{D5CDD505-2E9C-101B-9397-08002B2CF9AE}" pid="8" name="Position Status">
    <vt:lpwstr>Permanent</vt:lpwstr>
  </property>
  <property fmtid="{D5CDD505-2E9C-101B-9397-08002B2CF9AE}" pid="9" name="Pre-Employment Check">
    <vt:lpwstr>Yes</vt:lpwstr>
  </property>
  <property fmtid="{D5CDD505-2E9C-101B-9397-08002B2CF9AE}" pid="10" name="Relinquish">
    <vt:lpwstr/>
  </property>
  <property fmtid="{D5CDD505-2E9C-101B-9397-08002B2CF9AE}" pid="11" name="Section">
    <vt:lpwstr>HR Policy and Workforce Management</vt:lpwstr>
  </property>
  <property fmtid="{D5CDD505-2E9C-101B-9397-08002B2CF9AE}" pid="12" name="Travel">
    <vt:lpwstr/>
  </property>
  <property fmtid="{D5CDD505-2E9C-101B-9397-08002B2CF9AE}" pid="13" name="Weeks in Year">
    <vt:lpwstr>52</vt:lpwstr>
  </property>
  <property fmtid="{D5CDD505-2E9C-101B-9397-08002B2CF9AE}" pid="14" name="Weeks of Leave">
    <vt:lpwstr>4</vt:lpwstr>
  </property>
  <property fmtid="{D5CDD505-2E9C-101B-9397-08002B2CF9AE}" pid="15" name="ContentType">
    <vt:lpwstr>Document</vt:lpwstr>
  </property>
  <property fmtid="{D5CDD505-2E9C-101B-9397-08002B2CF9AE}" pid="16" name="display_urn:schemas-microsoft-com:office:office#Editor">
    <vt:lpwstr>Cousens, Eli J</vt:lpwstr>
  </property>
  <property fmtid="{D5CDD505-2E9C-101B-9397-08002B2CF9AE}" pid="17" name="TemplateUrl">
    <vt:lpwstr/>
  </property>
  <property fmtid="{D5CDD505-2E9C-101B-9397-08002B2CF9AE}" pid="18" name="xd_ProgID">
    <vt:lpwstr/>
  </property>
  <property fmtid="{D5CDD505-2E9C-101B-9397-08002B2CF9AE}" pid="19" name="display_urn:schemas-microsoft-com:office:office#Author">
    <vt:lpwstr>Batchelor, Terry</vt:lpwstr>
  </property>
  <property fmtid="{D5CDD505-2E9C-101B-9397-08002B2CF9AE}" pid="20" name="Order">
    <vt:lpwstr>148100.000000000</vt:lpwstr>
  </property>
</Properties>
</file>